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10</w:t>
      </w:r>
      <w:r w:rsidR="009E612A">
        <w:rPr>
          <w:rFonts w:ascii="Times New Roman" w:hAnsi="Times New Roman" w:cs="Times New Roman"/>
          <w:b/>
          <w:sz w:val="24"/>
          <w:szCs w:val="24"/>
        </w:rPr>
        <w:t>8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8F6951">
        <w:rPr>
          <w:rFonts w:ascii="Times New Roman" w:hAnsi="Times New Roman" w:cs="Times New Roman"/>
          <w:sz w:val="24"/>
          <w:szCs w:val="24"/>
        </w:rPr>
        <w:t>2</w:t>
      </w:r>
      <w:r w:rsidR="009E612A">
        <w:rPr>
          <w:rFonts w:ascii="Times New Roman" w:hAnsi="Times New Roman" w:cs="Times New Roman"/>
          <w:sz w:val="24"/>
          <w:szCs w:val="24"/>
        </w:rPr>
        <w:t>6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8F6951">
        <w:rPr>
          <w:rFonts w:ascii="Times New Roman" w:hAnsi="Times New Roman" w:cs="Times New Roman"/>
          <w:sz w:val="24"/>
          <w:szCs w:val="24"/>
        </w:rPr>
        <w:t>августа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E41759">
        <w:rPr>
          <w:rFonts w:ascii="Times New Roman" w:hAnsi="Times New Roman" w:cs="Times New Roman"/>
          <w:sz w:val="24"/>
          <w:szCs w:val="24"/>
        </w:rPr>
        <w:t>10</w:t>
      </w:r>
      <w:r w:rsidR="009E612A">
        <w:rPr>
          <w:rFonts w:ascii="Times New Roman" w:hAnsi="Times New Roman" w:cs="Times New Roman"/>
          <w:sz w:val="24"/>
          <w:szCs w:val="24"/>
        </w:rPr>
        <w:t>8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984"/>
        <w:gridCol w:w="992"/>
        <w:gridCol w:w="1134"/>
        <w:gridCol w:w="1418"/>
        <w:gridCol w:w="1276"/>
        <w:gridCol w:w="1984"/>
        <w:gridCol w:w="4394"/>
      </w:tblGrid>
      <w:tr w:rsidR="008666F5" w:rsidRPr="00294ED8" w:rsidTr="00455A02">
        <w:trPr>
          <w:trHeight w:val="347"/>
        </w:trPr>
        <w:tc>
          <w:tcPr>
            <w:tcW w:w="42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98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804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39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55A02">
        <w:trPr>
          <w:trHeight w:val="346"/>
        </w:trPr>
        <w:tc>
          <w:tcPr>
            <w:tcW w:w="42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98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39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5A02" w:rsidRPr="009E612A" w:rsidTr="00455A02">
        <w:trPr>
          <w:trHeight w:val="346"/>
        </w:trPr>
        <w:tc>
          <w:tcPr>
            <w:tcW w:w="426" w:type="dxa"/>
          </w:tcPr>
          <w:p w:rsidR="00455A02" w:rsidRPr="009E612A" w:rsidRDefault="00455A02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55A02" w:rsidRPr="009E612A" w:rsidRDefault="00455A02" w:rsidP="00EF4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2A">
              <w:rPr>
                <w:rFonts w:ascii="Times New Roman" w:hAnsi="Times New Roman" w:cs="Times New Roman"/>
                <w:sz w:val="24"/>
                <w:szCs w:val="24"/>
              </w:rPr>
              <w:t>0409112</w:t>
            </w:r>
          </w:p>
        </w:tc>
        <w:tc>
          <w:tcPr>
            <w:tcW w:w="1984" w:type="dxa"/>
          </w:tcPr>
          <w:p w:rsidR="00455A02" w:rsidRPr="009E612A" w:rsidRDefault="00455A02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>01.02.2026</w:t>
            </w:r>
          </w:p>
        </w:tc>
        <w:tc>
          <w:tcPr>
            <w:tcW w:w="992" w:type="dxa"/>
          </w:tcPr>
          <w:p w:rsidR="00455A02" w:rsidRPr="00656C68" w:rsidRDefault="00455A02" w:rsidP="00C4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455A02" w:rsidRPr="00656C68" w:rsidRDefault="00455A02" w:rsidP="00C4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455A02" w:rsidRPr="001E2A6A" w:rsidRDefault="00455A02" w:rsidP="00C425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455A02" w:rsidRPr="001E2A6A" w:rsidRDefault="00455A02" w:rsidP="00C425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455A02" w:rsidRPr="001E2A6A" w:rsidRDefault="00455A02" w:rsidP="00C425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455A02" w:rsidRDefault="00455A02" w:rsidP="0045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5A02" w:rsidRPr="00455A02" w:rsidRDefault="00455A02" w:rsidP="0045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>F0409112--XML183_13_0409112.zip</w:t>
            </w:r>
          </w:p>
        </w:tc>
      </w:tr>
      <w:tr w:rsidR="00455A02" w:rsidRPr="009E612A" w:rsidTr="00455A02">
        <w:trPr>
          <w:trHeight w:val="346"/>
        </w:trPr>
        <w:tc>
          <w:tcPr>
            <w:tcW w:w="426" w:type="dxa"/>
          </w:tcPr>
          <w:p w:rsidR="00455A02" w:rsidRPr="009E612A" w:rsidRDefault="00455A02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55A02" w:rsidRPr="009E612A" w:rsidRDefault="00455A02" w:rsidP="00EF4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2A">
              <w:rPr>
                <w:rFonts w:ascii="Times New Roman" w:hAnsi="Times New Roman" w:cs="Times New Roman"/>
                <w:sz w:val="24"/>
                <w:szCs w:val="24"/>
              </w:rPr>
              <w:t>0409135</w:t>
            </w:r>
          </w:p>
        </w:tc>
        <w:tc>
          <w:tcPr>
            <w:tcW w:w="1984" w:type="dxa"/>
          </w:tcPr>
          <w:p w:rsidR="00455A02" w:rsidRPr="009E612A" w:rsidRDefault="00455A02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</w:p>
        </w:tc>
        <w:tc>
          <w:tcPr>
            <w:tcW w:w="6804" w:type="dxa"/>
            <w:gridSpan w:val="5"/>
          </w:tcPr>
          <w:p w:rsidR="00455A02" w:rsidRPr="009E612A" w:rsidRDefault="00455A02" w:rsidP="0045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>акрыт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 xml:space="preserve">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 xml:space="preserve"> «135B - Раздел 9, </w:t>
            </w:r>
            <w:proofErr w:type="gramStart"/>
            <w:r w:rsidRPr="00455A02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  <w:proofErr w:type="gramEnd"/>
            <w:r w:rsidRPr="00455A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4" w:type="dxa"/>
          </w:tcPr>
          <w:p w:rsidR="00455A02" w:rsidRDefault="00455A02" w:rsidP="0045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5A02" w:rsidRPr="00455A02" w:rsidRDefault="00455A02" w:rsidP="0045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>F0409135--XML046_99_0409135.zip</w:t>
            </w:r>
          </w:p>
          <w:p w:rsidR="00455A02" w:rsidRPr="009E612A" w:rsidRDefault="00455A02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12A" w:rsidRPr="009E612A" w:rsidTr="00455A02">
        <w:trPr>
          <w:trHeight w:val="346"/>
        </w:trPr>
        <w:tc>
          <w:tcPr>
            <w:tcW w:w="426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612A" w:rsidRPr="009E612A" w:rsidRDefault="009E612A" w:rsidP="00EF4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12A" w:rsidRPr="009E612A" w:rsidTr="00455A02">
        <w:trPr>
          <w:trHeight w:val="346"/>
        </w:trPr>
        <w:tc>
          <w:tcPr>
            <w:tcW w:w="426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2A">
              <w:rPr>
                <w:rFonts w:ascii="Times New Roman" w:hAnsi="Times New Roman" w:cs="Times New Roman"/>
                <w:sz w:val="24"/>
                <w:szCs w:val="24"/>
              </w:rPr>
              <w:t xml:space="preserve">0409212 </w:t>
            </w:r>
          </w:p>
        </w:tc>
        <w:tc>
          <w:tcPr>
            <w:tcW w:w="1984" w:type="dxa"/>
          </w:tcPr>
          <w:p w:rsidR="009E612A" w:rsidRDefault="00455A02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  <w:p w:rsidR="009E612A" w:rsidRPr="009E612A" w:rsidRDefault="009E612A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2A">
              <w:rPr>
                <w:rFonts w:ascii="Times New Roman" w:hAnsi="Times New Roman" w:cs="Times New Roman"/>
                <w:sz w:val="24"/>
                <w:szCs w:val="24"/>
              </w:rPr>
              <w:t>(пилотный сбор</w:t>
            </w:r>
            <w:r w:rsidR="00455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A02" w:rsidRPr="00455A02">
              <w:rPr>
                <w:rFonts w:ascii="Times New Roman" w:hAnsi="Times New Roman" w:cs="Times New Roman"/>
                <w:sz w:val="24"/>
                <w:szCs w:val="24"/>
              </w:rPr>
              <w:t>01.09.2025</w:t>
            </w:r>
            <w:r w:rsidRPr="009E61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E612A" w:rsidRPr="00656C68" w:rsidRDefault="009E612A" w:rsidP="00C4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9E612A" w:rsidRPr="00656C68" w:rsidRDefault="009E612A" w:rsidP="00C42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9E612A" w:rsidRPr="001E2A6A" w:rsidRDefault="009E612A" w:rsidP="00C425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9E612A" w:rsidRPr="001E2A6A" w:rsidRDefault="009E612A" w:rsidP="00C425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9E612A" w:rsidRPr="001E2A6A" w:rsidRDefault="009E612A" w:rsidP="00C425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455A02" w:rsidRDefault="00455A02" w:rsidP="00455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12A" w:rsidRPr="009E612A" w:rsidRDefault="00455A02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A02">
              <w:rPr>
                <w:rFonts w:ascii="Times New Roman" w:hAnsi="Times New Roman" w:cs="Times New Roman"/>
                <w:sz w:val="24"/>
                <w:szCs w:val="24"/>
              </w:rPr>
              <w:t>F0409212--XML193_00_0409212.zip</w:t>
            </w:r>
          </w:p>
        </w:tc>
      </w:tr>
    </w:tbl>
    <w:p w:rsidR="00526CAA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F6951" w:rsidRPr="008F6951" w:rsidRDefault="008F6951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F6951" w:rsidRPr="008F6951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303F1"/>
    <w:rsid w:val="00853E74"/>
    <w:rsid w:val="00861D86"/>
    <w:rsid w:val="008666F5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9E612A"/>
    <w:rsid w:val="00A03D60"/>
    <w:rsid w:val="00A05E30"/>
    <w:rsid w:val="00A15A3E"/>
    <w:rsid w:val="00A26708"/>
    <w:rsid w:val="00A32B34"/>
    <w:rsid w:val="00A410AF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A8F"/>
    <w:rsid w:val="00C93BFB"/>
    <w:rsid w:val="00CB2D6B"/>
    <w:rsid w:val="00CB74E5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C42CB-3C47-4F96-B20D-39EB5BAF0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2526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205</cp:revision>
  <dcterms:created xsi:type="dcterms:W3CDTF">2023-10-04T08:30:00Z</dcterms:created>
  <dcterms:modified xsi:type="dcterms:W3CDTF">2025-08-12T12:04:00Z</dcterms:modified>
</cp:coreProperties>
</file>