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0609B8" w14:textId="77777777" w:rsidR="002A0C5D" w:rsidRPr="007B438D" w:rsidRDefault="002A0C5D" w:rsidP="002A0C5D">
      <w:pPr>
        <w:keepNext/>
        <w:keepLines/>
        <w:tabs>
          <w:tab w:val="left" w:pos="851"/>
          <w:tab w:val="left" w:pos="993"/>
          <w:tab w:val="left" w:pos="1560"/>
          <w:tab w:val="left" w:pos="1843"/>
        </w:tabs>
        <w:spacing w:after="0" w:line="360" w:lineRule="auto"/>
        <w:jc w:val="center"/>
        <w:outlineLvl w:val="0"/>
        <w:rPr>
          <w:rFonts w:ascii="Times New Roman" w:hAnsi="Times New Roman"/>
          <w:bCs/>
          <w:color w:val="000000" w:themeColor="text1"/>
          <w:sz w:val="28"/>
          <w:szCs w:val="28"/>
        </w:rPr>
      </w:pPr>
      <w:r w:rsidRPr="007B438D">
        <w:rPr>
          <w:rFonts w:ascii="Times New Roman" w:hAnsi="Times New Roman"/>
          <w:bCs/>
          <w:color w:val="000000" w:themeColor="text1"/>
          <w:sz w:val="28"/>
          <w:szCs w:val="28"/>
        </w:rPr>
        <w:t xml:space="preserve">Порядок составления и представления отчетности по форме 0409725 </w:t>
      </w:r>
    </w:p>
    <w:p w14:paraId="7AAFC277" w14:textId="77777777" w:rsidR="000B37B0" w:rsidRDefault="002A0C5D" w:rsidP="002A0C5D">
      <w:pPr>
        <w:keepNext/>
        <w:keepLines/>
        <w:tabs>
          <w:tab w:val="left" w:pos="851"/>
          <w:tab w:val="left" w:pos="993"/>
          <w:tab w:val="left" w:pos="1560"/>
          <w:tab w:val="left" w:pos="1843"/>
        </w:tabs>
        <w:spacing w:after="0" w:line="360" w:lineRule="auto"/>
        <w:jc w:val="center"/>
        <w:outlineLvl w:val="0"/>
        <w:rPr>
          <w:rFonts w:ascii="Times New Roman" w:hAnsi="Times New Roman"/>
          <w:bCs/>
          <w:color w:val="000000" w:themeColor="text1"/>
          <w:sz w:val="28"/>
          <w:szCs w:val="28"/>
        </w:rPr>
      </w:pPr>
      <w:r w:rsidRPr="007B438D">
        <w:rPr>
          <w:rFonts w:ascii="Times New Roman" w:hAnsi="Times New Roman"/>
          <w:bCs/>
          <w:color w:val="000000" w:themeColor="text1"/>
          <w:sz w:val="28"/>
          <w:szCs w:val="28"/>
        </w:rPr>
        <w:t>«</w:t>
      </w:r>
      <w:r w:rsidRPr="002A0C5D">
        <w:rPr>
          <w:rFonts w:ascii="Times New Roman" w:hAnsi="Times New Roman"/>
          <w:bCs/>
          <w:color w:val="000000" w:themeColor="text1"/>
          <w:sz w:val="28"/>
          <w:szCs w:val="28"/>
        </w:rPr>
        <w:t>Сведения</w:t>
      </w:r>
      <w:r w:rsidRPr="007B438D">
        <w:rPr>
          <w:rFonts w:ascii="Times New Roman" w:hAnsi="Times New Roman"/>
          <w:bCs/>
          <w:color w:val="000000" w:themeColor="text1"/>
          <w:sz w:val="28"/>
          <w:szCs w:val="28"/>
        </w:rPr>
        <w:t xml:space="preserve"> о маржинальных сделках клиентов кредитной организации, находящихся на брокерском обслуживании»</w:t>
      </w:r>
    </w:p>
    <w:p w14:paraId="43C43B47" w14:textId="77777777" w:rsidR="002A0C5D" w:rsidRPr="007B438D" w:rsidRDefault="002A0C5D" w:rsidP="002A0C5D">
      <w:pPr>
        <w:tabs>
          <w:tab w:val="left" w:pos="851"/>
          <w:tab w:val="left" w:pos="993"/>
        </w:tabs>
        <w:autoSpaceDE w:val="0"/>
        <w:autoSpaceDN w:val="0"/>
        <w:adjustRightInd w:val="0"/>
        <w:spacing w:after="0" w:line="360" w:lineRule="auto"/>
        <w:ind w:firstLine="709"/>
        <w:contextualSpacing/>
        <w:jc w:val="both"/>
        <w:outlineLvl w:val="0"/>
        <w:rPr>
          <w:rFonts w:ascii="Times New Roman" w:eastAsia="Calibri" w:hAnsi="Times New Roman"/>
          <w:color w:val="000000" w:themeColor="text1"/>
          <w:sz w:val="28"/>
          <w:szCs w:val="28"/>
        </w:rPr>
      </w:pPr>
    </w:p>
    <w:p w14:paraId="5A22E9EF" w14:textId="77777777" w:rsidR="002A0C5D" w:rsidRPr="007B438D" w:rsidRDefault="002A0C5D" w:rsidP="002A0C5D">
      <w:pPr>
        <w:tabs>
          <w:tab w:val="left" w:pos="851"/>
          <w:tab w:val="left" w:pos="993"/>
        </w:tabs>
        <w:autoSpaceDE w:val="0"/>
        <w:autoSpaceDN w:val="0"/>
        <w:adjustRightInd w:val="0"/>
        <w:spacing w:after="0" w:line="360" w:lineRule="auto"/>
        <w:ind w:firstLine="709"/>
        <w:contextualSpacing/>
        <w:jc w:val="both"/>
        <w:outlineLvl w:val="0"/>
        <w:rPr>
          <w:rFonts w:ascii="Times New Roman" w:eastAsia="Calibri" w:hAnsi="Times New Roman"/>
          <w:color w:val="000000" w:themeColor="text1"/>
          <w:sz w:val="24"/>
          <w:szCs w:val="24"/>
        </w:rPr>
      </w:pPr>
    </w:p>
    <w:p w14:paraId="0875592F" w14:textId="77777777" w:rsidR="002A0C5D" w:rsidRDefault="002A0C5D" w:rsidP="002A0C5D">
      <w:pPr>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Глава 1. Общие положения</w:t>
      </w:r>
    </w:p>
    <w:p w14:paraId="18EB0E02" w14:textId="77777777" w:rsidR="00C146FC" w:rsidRDefault="00C146FC" w:rsidP="00C146FC">
      <w:pPr>
        <w:tabs>
          <w:tab w:val="left" w:pos="851"/>
          <w:tab w:val="left" w:pos="993"/>
        </w:tabs>
        <w:autoSpaceDE w:val="0"/>
        <w:autoSpaceDN w:val="0"/>
        <w:adjustRightInd w:val="0"/>
        <w:spacing w:after="0" w:line="360" w:lineRule="auto"/>
        <w:ind w:firstLine="709"/>
        <w:contextualSpacing/>
        <w:jc w:val="both"/>
        <w:outlineLvl w:val="0"/>
        <w:rPr>
          <w:rFonts w:ascii="Times New Roman" w:hAnsi="Times New Roman"/>
          <w:sz w:val="28"/>
          <w:szCs w:val="28"/>
        </w:rPr>
      </w:pPr>
    </w:p>
    <w:p w14:paraId="0C852378" w14:textId="77777777" w:rsidR="00C146FC" w:rsidRPr="00572534" w:rsidRDefault="00C146FC" w:rsidP="00FC23FF">
      <w:pPr>
        <w:pStyle w:val="a3"/>
        <w:numPr>
          <w:ilvl w:val="1"/>
          <w:numId w:val="1"/>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C146FC">
        <w:rPr>
          <w:rFonts w:ascii="Times New Roman" w:eastAsia="Calibri" w:hAnsi="Times New Roman"/>
          <w:color w:val="000000" w:themeColor="text1"/>
          <w:sz w:val="28"/>
          <w:szCs w:val="28"/>
        </w:rPr>
        <w:t xml:space="preserve">Отчетность по форме 0409725 «Сведения </w:t>
      </w:r>
      <w:r w:rsidRPr="00C146FC">
        <w:rPr>
          <w:rFonts w:ascii="Times New Roman" w:hAnsi="Times New Roman"/>
          <w:bCs/>
          <w:color w:val="000000" w:themeColor="text1"/>
          <w:sz w:val="28"/>
          <w:szCs w:val="28"/>
        </w:rPr>
        <w:t>о маржинальных сделках клиентов кредитной организации, находящихся на брокерском обслуживании</w:t>
      </w:r>
      <w:r w:rsidRPr="00C146FC">
        <w:rPr>
          <w:rFonts w:ascii="Times New Roman" w:eastAsia="Calibri" w:hAnsi="Times New Roman"/>
          <w:color w:val="000000" w:themeColor="text1"/>
          <w:sz w:val="28"/>
          <w:szCs w:val="28"/>
        </w:rPr>
        <w:t xml:space="preserve">» (далее – Отчет) составляется кредитными организациями – профессиональными участниками рынка ценных бумаг, имеющими лицензию на осуществление брокерской деятельности (далее – </w:t>
      </w:r>
      <w:r w:rsidR="00572534">
        <w:rPr>
          <w:rFonts w:ascii="Times New Roman" w:eastAsia="Calibri" w:hAnsi="Times New Roman"/>
          <w:color w:val="000000" w:themeColor="text1"/>
          <w:sz w:val="28"/>
          <w:szCs w:val="28"/>
        </w:rPr>
        <w:t>кр</w:t>
      </w:r>
      <w:r w:rsidR="00103CE4">
        <w:rPr>
          <w:rFonts w:ascii="Times New Roman" w:eastAsia="Calibri" w:hAnsi="Times New Roman"/>
          <w:color w:val="000000" w:themeColor="text1"/>
          <w:sz w:val="28"/>
          <w:szCs w:val="28"/>
        </w:rPr>
        <w:t>едитная организация – брокер.</w:t>
      </w:r>
    </w:p>
    <w:p w14:paraId="6AAE63AB" w14:textId="77777777" w:rsidR="00572534" w:rsidRPr="00FC23FF" w:rsidRDefault="00FC23FF" w:rsidP="00FC23FF">
      <w:pPr>
        <w:pStyle w:val="a3"/>
        <w:numPr>
          <w:ilvl w:val="1"/>
          <w:numId w:val="1"/>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7B438D">
        <w:rPr>
          <w:rFonts w:ascii="Times New Roman" w:eastAsia="Calibri" w:hAnsi="Times New Roman"/>
          <w:color w:val="000000" w:themeColor="text1"/>
          <w:sz w:val="28"/>
          <w:szCs w:val="28"/>
        </w:rPr>
        <w:t>При расчете всех значений показателей Отчета учитываются только портфели физических лиц (в том числе индивидуальных предпринимателей) или юридических лиц (в том числе в разрезе резидентов и нерезидентов, квалифицированных и неквалифицированных инвесторов), которые удовлетворяют одному из следующих условий:</w:t>
      </w:r>
    </w:p>
    <w:p w14:paraId="3F32965A" w14:textId="77777777" w:rsidR="00FC23FF" w:rsidRDefault="00FC23FF" w:rsidP="002C30AE">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 xml:space="preserve">в составе портфеля клиента есть плановая позиция по активу, которую кредитная организация – брокер должна рассчитывать в соответствии с пунктом 4 приложения к Указанию Банка России от 12 февраля 2024 года </w:t>
      </w:r>
      <w:r w:rsidR="002C30AE">
        <w:rPr>
          <w:rFonts w:ascii="Times New Roman" w:eastAsia="Calibri" w:hAnsi="Times New Roman"/>
          <w:color w:val="000000" w:themeColor="text1"/>
          <w:sz w:val="28"/>
          <w:szCs w:val="28"/>
        </w:rPr>
        <w:t>№ </w:t>
      </w:r>
      <w:r w:rsidRPr="007B438D">
        <w:rPr>
          <w:rFonts w:ascii="Times New Roman" w:eastAsia="Calibri" w:hAnsi="Times New Roman"/>
          <w:color w:val="000000" w:themeColor="text1"/>
          <w:sz w:val="28"/>
          <w:szCs w:val="28"/>
        </w:rPr>
        <w:t>6681-У «О требованиях к осуществлению брокерской деятельности при совершении брокером отдельных сделок за счет клиента»</w:t>
      </w:r>
      <w:r w:rsidRPr="007B438D">
        <w:rPr>
          <w:rFonts w:ascii="Times New Roman" w:eastAsia="Calibri" w:hAnsi="Times New Roman"/>
          <w:color w:val="000000" w:themeColor="text1"/>
          <w:sz w:val="28"/>
          <w:szCs w:val="28"/>
          <w:vertAlign w:val="superscript"/>
        </w:rPr>
        <w:footnoteReference w:id="1"/>
      </w:r>
      <w:r w:rsidRPr="007B438D">
        <w:rPr>
          <w:rFonts w:ascii="Times New Roman" w:eastAsia="Calibri" w:hAnsi="Times New Roman"/>
          <w:color w:val="000000" w:themeColor="text1"/>
          <w:sz w:val="28"/>
          <w:szCs w:val="28"/>
        </w:rPr>
        <w:t xml:space="preserve"> (далее соответственно – Указание Банка России № 6681-У, плановая позиция), в размере меньше нуля (далее – отрицательная плановая позиция) по любому активу клиента, за исключением отрицательной плановой позиции, выраженной только в российских рублях;</w:t>
      </w:r>
    </w:p>
    <w:p w14:paraId="12BEBE82" w14:textId="77777777" w:rsidR="002C30AE" w:rsidRDefault="002C30AE" w:rsidP="002C30AE">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lastRenderedPageBreak/>
        <w:t>в состав портфеля клиента входят фьючерсные договоры, и (или) опционные договоры, и (или) прочие договоры, являющиеся производными финансовыми инструментами (далее – ПФИ).</w:t>
      </w:r>
    </w:p>
    <w:p w14:paraId="3A9F4377" w14:textId="77777777" w:rsidR="002C30AE" w:rsidRPr="00303914" w:rsidRDefault="00303914" w:rsidP="00303914">
      <w:pPr>
        <w:pStyle w:val="a3"/>
        <w:numPr>
          <w:ilvl w:val="1"/>
          <w:numId w:val="1"/>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303914">
        <w:rPr>
          <w:rFonts w:ascii="Times New Roman" w:eastAsia="Calibri" w:hAnsi="Times New Roman"/>
          <w:color w:val="000000" w:themeColor="text1"/>
          <w:sz w:val="28"/>
          <w:szCs w:val="28"/>
        </w:rPr>
        <w:t>Для целей заполнения Отчета активами клиента являются денежные средства (в валюте Российской Федерации и (или) в иностранной валюте), и (или) ценные бумаги, и (или) драгоценные металлы, и (или) фьючерсные договоры, и (или) опционные договоры, и (или) прочие договоры, являющиеся ПФИ, которые в соответствии с договором о брокерском обслуживании находятся в распоряжении кредитной организации – брокера или должны поступить в ее распоряжение.</w:t>
      </w:r>
    </w:p>
    <w:p w14:paraId="0AEBF597" w14:textId="15149837" w:rsidR="00303914" w:rsidRDefault="00303914" w:rsidP="001B5590">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 xml:space="preserve">Для целей заполнения Отчета портфелем клиента является совокупность активов клиента, обязательств по сделкам, совершенным за счет активов клиента в соответствии с заключенным с клиентом договором о брокерском </w:t>
      </w:r>
      <w:r w:rsidRPr="007B438D">
        <w:rPr>
          <w:rFonts w:ascii="Times New Roman" w:eastAsia="Calibri" w:hAnsi="Times New Roman"/>
          <w:color w:val="000000" w:themeColor="text1"/>
          <w:spacing w:val="-3"/>
          <w:sz w:val="28"/>
          <w:szCs w:val="28"/>
        </w:rPr>
        <w:t>обслуживании, а также задолженность клиента перед кредитной организацией –</w:t>
      </w:r>
      <w:r w:rsidRPr="007B438D">
        <w:rPr>
          <w:rFonts w:ascii="Times New Roman" w:eastAsia="Calibri" w:hAnsi="Times New Roman"/>
          <w:color w:val="000000" w:themeColor="text1"/>
          <w:sz w:val="28"/>
          <w:szCs w:val="28"/>
        </w:rPr>
        <w:t xml:space="preserve"> брокером, в отношении которой рассчитываются в соответствии с пунктами 1 и 2 приложения к Указанию Банка России № 6681-У следующие нормативы покрытия риска (далее – НПР) – НПР при исполнении поручений клиента (далее – НПР1) и НПР при изменении стоимости портфеля клиента (далее – НПР2).</w:t>
      </w:r>
    </w:p>
    <w:p w14:paraId="161BCB56" w14:textId="77777777" w:rsidR="001B5590" w:rsidRPr="007B438D" w:rsidRDefault="001B5590" w:rsidP="001B5590">
      <w:pPr>
        <w:tabs>
          <w:tab w:val="left" w:pos="284"/>
          <w:tab w:val="left" w:pos="1134"/>
        </w:tabs>
        <w:spacing w:after="0" w:line="360" w:lineRule="auto"/>
        <w:ind w:firstLine="709"/>
        <w:jc w:val="both"/>
        <w:rPr>
          <w:rFonts w:ascii="Times New Roman" w:hAnsi="Times New Roman"/>
          <w:color w:val="000000" w:themeColor="text1"/>
          <w:sz w:val="28"/>
          <w:szCs w:val="28"/>
        </w:rPr>
      </w:pPr>
      <w:r w:rsidRPr="007B438D">
        <w:rPr>
          <w:rFonts w:ascii="Times New Roman" w:hAnsi="Times New Roman"/>
          <w:color w:val="000000" w:themeColor="text1"/>
          <w:sz w:val="28"/>
          <w:szCs w:val="28"/>
        </w:rPr>
        <w:t xml:space="preserve">Для отражения по показателям Отчета сведений о наименовании, идентификационном номере налогоплательщика (далее – ИНН) и основном государственном регистрационном номере (далее – ОГРН) юридического лица кредитная организация – брокер должна использовать Справочник ИНН и ОГРН юридических лиц (далее – Справочник ИНН и ОГРН), направленный ей Банком России в соответствии с порядком взаимодействия, </w:t>
      </w:r>
      <w:r w:rsidRPr="007B438D">
        <w:rPr>
          <w:rFonts w:ascii="Times New Roman" w:hAnsi="Times New Roman"/>
          <w:color w:val="000000" w:themeColor="text1"/>
          <w:sz w:val="28"/>
          <w:szCs w:val="28"/>
          <w:lang w:eastAsia="ru-RU"/>
        </w:rPr>
        <w:t>установленным нормативным актом Банком России, принятым на основании статьи 9</w:t>
      </w:r>
      <w:r w:rsidRPr="007B438D">
        <w:rPr>
          <w:rFonts w:ascii="Times New Roman" w:hAnsi="Times New Roman"/>
          <w:color w:val="000000" w:themeColor="text1"/>
          <w:sz w:val="28"/>
          <w:szCs w:val="28"/>
          <w:vertAlign w:val="superscript"/>
          <w:lang w:eastAsia="ru-RU"/>
        </w:rPr>
        <w:t>2</w:t>
      </w:r>
      <w:r w:rsidRPr="007B438D">
        <w:rPr>
          <w:rFonts w:ascii="Times New Roman" w:hAnsi="Times New Roman"/>
          <w:color w:val="000000" w:themeColor="text1"/>
          <w:sz w:val="28"/>
          <w:szCs w:val="28"/>
          <w:lang w:eastAsia="ru-RU"/>
        </w:rPr>
        <w:t>, частей первой и четвертой статьи 73</w:t>
      </w:r>
      <w:r w:rsidRPr="007B438D">
        <w:rPr>
          <w:rFonts w:ascii="Times New Roman" w:hAnsi="Times New Roman"/>
          <w:color w:val="000000" w:themeColor="text1"/>
          <w:sz w:val="28"/>
          <w:szCs w:val="28"/>
          <w:vertAlign w:val="superscript"/>
          <w:lang w:eastAsia="ru-RU"/>
        </w:rPr>
        <w:t>1</w:t>
      </w:r>
      <w:r w:rsidRPr="007B438D">
        <w:rPr>
          <w:rFonts w:ascii="Times New Roman" w:hAnsi="Times New Roman"/>
          <w:color w:val="000000" w:themeColor="text1"/>
          <w:sz w:val="28"/>
          <w:szCs w:val="28"/>
          <w:lang w:eastAsia="ru-RU"/>
        </w:rPr>
        <w:t>, частей первой, третьей, шестой и восьмой статьи 76</w:t>
      </w:r>
      <w:r w:rsidRPr="007B438D">
        <w:rPr>
          <w:rFonts w:ascii="Times New Roman" w:hAnsi="Times New Roman"/>
          <w:color w:val="000000" w:themeColor="text1"/>
          <w:sz w:val="28"/>
          <w:szCs w:val="28"/>
          <w:vertAlign w:val="superscript"/>
          <w:lang w:eastAsia="ru-RU"/>
        </w:rPr>
        <w:t>9</w:t>
      </w:r>
      <w:r w:rsidRPr="007B438D">
        <w:rPr>
          <w:rFonts w:ascii="Times New Roman" w:hAnsi="Times New Roman"/>
          <w:color w:val="000000" w:themeColor="text1"/>
          <w:sz w:val="28"/>
          <w:szCs w:val="28"/>
          <w:lang w:eastAsia="ru-RU"/>
        </w:rPr>
        <w:t>, частей первой, третьей, шестой и восьмой статьи 76</w:t>
      </w:r>
      <w:r w:rsidRPr="007B438D">
        <w:rPr>
          <w:rFonts w:ascii="Times New Roman" w:hAnsi="Times New Roman"/>
          <w:color w:val="000000" w:themeColor="text1"/>
          <w:sz w:val="28"/>
          <w:szCs w:val="28"/>
          <w:vertAlign w:val="superscript"/>
          <w:lang w:eastAsia="ru-RU"/>
        </w:rPr>
        <w:t xml:space="preserve">9-11 </w:t>
      </w:r>
      <w:r w:rsidRPr="007B438D">
        <w:rPr>
          <w:rFonts w:ascii="Times New Roman" w:hAnsi="Times New Roman"/>
          <w:color w:val="000000" w:themeColor="text1"/>
          <w:sz w:val="28"/>
          <w:szCs w:val="28"/>
          <w:lang w:eastAsia="ru-RU"/>
        </w:rPr>
        <w:t>Федерального закона от 10 июля 2002 года № 86-ФЗ «О Центральном банке Российской Федерации (Банке России)», частей 1, 4, 5 и 7 статьи 35</w:t>
      </w:r>
      <w:r w:rsidRPr="007B438D">
        <w:rPr>
          <w:rFonts w:ascii="Times New Roman" w:hAnsi="Times New Roman"/>
          <w:color w:val="000000" w:themeColor="text1"/>
          <w:sz w:val="28"/>
          <w:szCs w:val="28"/>
          <w:vertAlign w:val="superscript"/>
          <w:lang w:eastAsia="ru-RU"/>
        </w:rPr>
        <w:t>1</w:t>
      </w:r>
      <w:r w:rsidRPr="007B438D">
        <w:rPr>
          <w:rFonts w:ascii="Times New Roman" w:hAnsi="Times New Roman"/>
          <w:color w:val="000000" w:themeColor="text1"/>
          <w:sz w:val="28"/>
          <w:szCs w:val="28"/>
          <w:lang w:eastAsia="ru-RU"/>
        </w:rPr>
        <w:t xml:space="preserve"> </w:t>
      </w:r>
      <w:r w:rsidRPr="007B438D">
        <w:rPr>
          <w:rFonts w:ascii="Times New Roman" w:hAnsi="Times New Roman"/>
          <w:color w:val="000000" w:themeColor="text1"/>
          <w:sz w:val="28"/>
          <w:szCs w:val="28"/>
          <w:lang w:eastAsia="ru-RU"/>
        </w:rPr>
        <w:lastRenderedPageBreak/>
        <w:t>Федерального закона от 27 июня 2011 года № 161-ФЗ «О национальной платежной системе»</w:t>
      </w:r>
      <w:r w:rsidRPr="007B438D">
        <w:rPr>
          <w:rFonts w:ascii="Times New Roman" w:hAnsi="Times New Roman"/>
          <w:color w:val="000000" w:themeColor="text1"/>
          <w:sz w:val="28"/>
          <w:szCs w:val="28"/>
        </w:rPr>
        <w:t xml:space="preserve">. </w:t>
      </w:r>
    </w:p>
    <w:p w14:paraId="52202E1A" w14:textId="43545EDC" w:rsidR="001B5590" w:rsidRDefault="001B5590" w:rsidP="001B5590">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rPr>
      </w:pPr>
      <w:r w:rsidRPr="007B438D">
        <w:rPr>
          <w:rFonts w:ascii="Times New Roman" w:hAnsi="Times New Roman"/>
          <w:color w:val="000000" w:themeColor="text1"/>
          <w:sz w:val="28"/>
          <w:szCs w:val="28"/>
        </w:rPr>
        <w:t>В случае выявления несоответствия информации о наименовании, ИНН и (или) ОГРН юридического лица, содержащейся в Справочнике ИНН и ОГРН, данным, имеющимся в распоряжении кредитной организации – брокера, по показателям Отчета указываются данные из Справочника ИНН и ОГРН.</w:t>
      </w:r>
    </w:p>
    <w:p w14:paraId="19394EAA" w14:textId="77777777" w:rsidR="00103CE4" w:rsidRPr="00103CE4" w:rsidRDefault="00103CE4" w:rsidP="00103CE4">
      <w:pPr>
        <w:pStyle w:val="a3"/>
        <w:numPr>
          <w:ilvl w:val="1"/>
          <w:numId w:val="1"/>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7B438D">
        <w:rPr>
          <w:rFonts w:ascii="Times New Roman" w:eastAsia="Calibri" w:hAnsi="Times New Roman"/>
          <w:color w:val="000000" w:themeColor="text1"/>
          <w:sz w:val="28"/>
          <w:szCs w:val="28"/>
        </w:rPr>
        <w:t>Отчет составляется по состоянию на</w:t>
      </w:r>
      <w:r w:rsidRPr="00103CE4">
        <w:rPr>
          <w:rFonts w:ascii="Times New Roman" w:hAnsi="Times New Roman"/>
          <w:sz w:val="28"/>
          <w:szCs w:val="28"/>
          <w:lang w:eastAsia="ru-RU"/>
        </w:rPr>
        <w:t xml:space="preserve"> </w:t>
      </w:r>
      <w:r w:rsidRPr="001B5590">
        <w:rPr>
          <w:rFonts w:ascii="Times New Roman" w:hAnsi="Times New Roman"/>
          <w:sz w:val="28"/>
          <w:szCs w:val="28"/>
          <w:lang w:eastAsia="ru-RU"/>
        </w:rPr>
        <w:t>последний календарный день отчетного месяца (отчетного квартала) включительно</w:t>
      </w:r>
      <w:r w:rsidRPr="00103CE4">
        <w:rPr>
          <w:rFonts w:ascii="Times New Roman" w:eastAsia="Calibri" w:hAnsi="Times New Roman"/>
          <w:color w:val="000000" w:themeColor="text1"/>
          <w:sz w:val="28"/>
          <w:szCs w:val="28"/>
        </w:rPr>
        <w:t xml:space="preserve"> </w:t>
      </w:r>
      <w:r w:rsidRPr="007B438D">
        <w:rPr>
          <w:rFonts w:ascii="Times New Roman" w:eastAsia="Calibri" w:hAnsi="Times New Roman"/>
          <w:color w:val="000000" w:themeColor="text1"/>
          <w:sz w:val="28"/>
          <w:szCs w:val="28"/>
        </w:rPr>
        <w:t>(далее при совместном упоминании – отчетный период), и представляется в Банк России:</w:t>
      </w:r>
    </w:p>
    <w:p w14:paraId="468B9B10" w14:textId="0C86FAAA" w:rsidR="00103CE4" w:rsidRDefault="00103CE4" w:rsidP="00103CE4">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rPr>
      </w:pPr>
      <w:r w:rsidRPr="007B438D">
        <w:rPr>
          <w:rFonts w:ascii="Times New Roman" w:hAnsi="Times New Roman"/>
          <w:color w:val="000000" w:themeColor="text1"/>
          <w:sz w:val="28"/>
          <w:szCs w:val="28"/>
          <w:lang w:eastAsia="ru-RU"/>
        </w:rPr>
        <w:t xml:space="preserve">кредитными организациями – брокерами, определившими хотя бы по одному из показателей деятельности, </w:t>
      </w:r>
      <w:bookmarkStart w:id="0" w:name="_Hlk108020798"/>
      <w:r w:rsidRPr="007B438D">
        <w:rPr>
          <w:rFonts w:ascii="Times New Roman" w:hAnsi="Times New Roman"/>
          <w:color w:val="000000" w:themeColor="text1"/>
          <w:sz w:val="28"/>
          <w:szCs w:val="28"/>
          <w:lang w:eastAsia="ru-RU"/>
        </w:rPr>
        <w:t>указанных в графе 2 приложения к Положению Банка России от 27 июля 2015 года № 481-П «О лицензионных требованиях и условиях осуществления профессиональной деятельности на рынке ценных бумаг, ограничениях на совмещение отдельных видов профессиональной деятельности на рынке ценных бумаг, а также о порядке и сроках представления в Банк России отчетов о прекращении обязательств, связанных с осуществлением профессиональной деятельности на рынке ценных бумаг, в случае аннулирования лицензии профессионального участника рынка ценных бумаг»</w:t>
      </w:r>
      <w:r w:rsidRPr="007B438D">
        <w:rPr>
          <w:rFonts w:ascii="Times New Roman" w:hAnsi="Times New Roman"/>
          <w:color w:val="000000" w:themeColor="text1"/>
          <w:sz w:val="28"/>
          <w:szCs w:val="28"/>
          <w:vertAlign w:val="superscript"/>
          <w:lang w:eastAsia="ru-RU"/>
        </w:rPr>
        <w:footnoteReference w:id="2"/>
      </w:r>
      <w:r w:rsidRPr="007B438D">
        <w:rPr>
          <w:rFonts w:ascii="Times New Roman" w:hAnsi="Times New Roman"/>
          <w:color w:val="000000" w:themeColor="text1"/>
          <w:sz w:val="28"/>
          <w:szCs w:val="28"/>
          <w:lang w:eastAsia="ru-RU"/>
        </w:rPr>
        <w:t xml:space="preserve"> (далее соответственно – Положение Банка России № 481-П, показатели деятельности), в качестве годового диапазона значений показателей деятельности для каждого из осуществляемых кредитной организацией – профессиональным участником рынка ценных бумаг лицензируемых видов профессиональной деятельности на рынке ценных бумаг (далее – годовой диапазон) диапазон значений показателей деятельности кредитной организации – брокера, указанный в графе 4 или </w:t>
      </w:r>
      <w:r w:rsidRPr="007B438D">
        <w:rPr>
          <w:rFonts w:ascii="Times New Roman" w:hAnsi="Times New Roman"/>
          <w:color w:val="000000" w:themeColor="text1"/>
          <w:sz w:val="28"/>
          <w:szCs w:val="28"/>
          <w:lang w:eastAsia="ru-RU"/>
        </w:rPr>
        <w:lastRenderedPageBreak/>
        <w:t>графе 5 приложения к Положению Банка России № 481-П,</w:t>
      </w:r>
      <w:bookmarkEnd w:id="0"/>
      <w:r w:rsidRPr="007B438D">
        <w:rPr>
          <w:rFonts w:ascii="Times New Roman" w:eastAsia="Calibri" w:hAnsi="Times New Roman"/>
          <w:color w:val="000000" w:themeColor="text1"/>
          <w:sz w:val="28"/>
          <w:szCs w:val="28"/>
        </w:rPr>
        <w:t xml:space="preserve"> –</w:t>
      </w:r>
      <w:r w:rsidR="002F57FD">
        <w:rPr>
          <w:rFonts w:ascii="Times New Roman" w:eastAsia="Calibri" w:hAnsi="Times New Roman"/>
          <w:color w:val="000000" w:themeColor="text1"/>
          <w:sz w:val="28"/>
          <w:szCs w:val="28"/>
        </w:rPr>
        <w:t xml:space="preserve"> </w:t>
      </w:r>
      <w:r w:rsidRPr="007B438D">
        <w:rPr>
          <w:rFonts w:ascii="Times New Roman" w:eastAsia="Calibri" w:hAnsi="Times New Roman"/>
          <w:color w:val="000000" w:themeColor="text1"/>
          <w:sz w:val="28"/>
          <w:szCs w:val="28"/>
        </w:rPr>
        <w:t>за отчетны</w:t>
      </w:r>
      <w:r w:rsidR="002F57FD">
        <w:rPr>
          <w:rFonts w:ascii="Times New Roman" w:eastAsia="Calibri" w:hAnsi="Times New Roman"/>
          <w:color w:val="000000" w:themeColor="text1"/>
          <w:sz w:val="28"/>
          <w:szCs w:val="28"/>
        </w:rPr>
        <w:t>й месяц</w:t>
      </w:r>
      <w:r w:rsidRPr="007B438D">
        <w:rPr>
          <w:rFonts w:ascii="Times New Roman" w:eastAsia="Calibri" w:hAnsi="Times New Roman"/>
          <w:color w:val="000000" w:themeColor="text1"/>
          <w:sz w:val="28"/>
          <w:szCs w:val="28"/>
        </w:rPr>
        <w:t>;</w:t>
      </w:r>
    </w:p>
    <w:p w14:paraId="74C87D57" w14:textId="73976187" w:rsidR="00103CE4" w:rsidRDefault="00103CE4" w:rsidP="00103CE4">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 xml:space="preserve">кредитными </w:t>
      </w:r>
      <w:bookmarkStart w:id="1" w:name="_Hlk108020995"/>
      <w:r w:rsidRPr="007B438D">
        <w:rPr>
          <w:rFonts w:ascii="Times New Roman" w:eastAsia="Calibri" w:hAnsi="Times New Roman"/>
          <w:color w:val="000000" w:themeColor="text1"/>
          <w:sz w:val="28"/>
          <w:szCs w:val="28"/>
        </w:rPr>
        <w:t>организациями –</w:t>
      </w:r>
      <w:bookmarkEnd w:id="1"/>
      <w:r w:rsidRPr="007B438D">
        <w:rPr>
          <w:rFonts w:ascii="Times New Roman" w:eastAsia="Calibri" w:hAnsi="Times New Roman"/>
          <w:color w:val="000000" w:themeColor="text1"/>
          <w:sz w:val="28"/>
          <w:szCs w:val="28"/>
        </w:rPr>
        <w:t xml:space="preserve"> </w:t>
      </w:r>
      <w:r w:rsidRPr="007B438D">
        <w:rPr>
          <w:rFonts w:ascii="Times New Roman" w:hAnsi="Times New Roman"/>
          <w:color w:val="000000" w:themeColor="text1"/>
          <w:sz w:val="28"/>
          <w:szCs w:val="28"/>
          <w:lang w:eastAsia="ru-RU"/>
        </w:rPr>
        <w:t>брокерами</w:t>
      </w:r>
      <w:r w:rsidRPr="007B438D">
        <w:rPr>
          <w:rFonts w:ascii="Times New Roman" w:eastAsia="Calibri" w:hAnsi="Times New Roman"/>
          <w:color w:val="000000" w:themeColor="text1"/>
          <w:sz w:val="28"/>
          <w:szCs w:val="28"/>
        </w:rPr>
        <w:t xml:space="preserve">, не определившими ни по одному из показателей деятельности в качестве годового диапазона диапазон значений показателей деятельности кредитной организации – брокера, указанный в графе 4 или графе 5 приложения к Положению Банка России № 481-П, а также </w:t>
      </w:r>
      <w:r w:rsidRPr="007B438D">
        <w:rPr>
          <w:rFonts w:ascii="Times New Roman" w:hAnsi="Times New Roman"/>
          <w:color w:val="000000" w:themeColor="text1"/>
          <w:sz w:val="28"/>
          <w:szCs w:val="28"/>
          <w:lang w:eastAsia="ru-RU"/>
        </w:rPr>
        <w:t xml:space="preserve">если кредитными организациями – брокерами в текущем или предыдущем календарном году впервые получена лицензия профессионального участника рынка ценных бумаг, </w:t>
      </w:r>
      <w:r w:rsidRPr="007B438D">
        <w:rPr>
          <w:rFonts w:ascii="Times New Roman" w:eastAsia="Calibri" w:hAnsi="Times New Roman"/>
          <w:color w:val="000000" w:themeColor="text1"/>
          <w:sz w:val="28"/>
          <w:szCs w:val="28"/>
        </w:rPr>
        <w:t>–</w:t>
      </w:r>
      <w:r w:rsidR="002F57FD">
        <w:rPr>
          <w:rFonts w:ascii="Times New Roman" w:eastAsia="Calibri" w:hAnsi="Times New Roman"/>
          <w:color w:val="000000" w:themeColor="text1"/>
          <w:sz w:val="28"/>
          <w:szCs w:val="28"/>
        </w:rPr>
        <w:t xml:space="preserve"> </w:t>
      </w:r>
      <w:r w:rsidRPr="007B438D">
        <w:rPr>
          <w:rFonts w:ascii="Times New Roman" w:eastAsia="Calibri" w:hAnsi="Times New Roman"/>
          <w:color w:val="000000" w:themeColor="text1"/>
          <w:sz w:val="28"/>
          <w:szCs w:val="28"/>
        </w:rPr>
        <w:t>за отчетны</w:t>
      </w:r>
      <w:r w:rsidR="002F57FD">
        <w:rPr>
          <w:rFonts w:ascii="Times New Roman" w:eastAsia="Calibri" w:hAnsi="Times New Roman"/>
          <w:color w:val="000000" w:themeColor="text1"/>
          <w:sz w:val="28"/>
          <w:szCs w:val="28"/>
        </w:rPr>
        <w:t>й квартал</w:t>
      </w:r>
      <w:r w:rsidRPr="007B438D">
        <w:rPr>
          <w:rFonts w:ascii="Times New Roman" w:eastAsia="Calibri" w:hAnsi="Times New Roman"/>
          <w:color w:val="000000" w:themeColor="text1"/>
          <w:sz w:val="28"/>
          <w:szCs w:val="28"/>
        </w:rPr>
        <w:t>.</w:t>
      </w:r>
    </w:p>
    <w:p w14:paraId="4A7D6C37" w14:textId="52F27E2C" w:rsidR="00103CE4" w:rsidRDefault="00103CE4" w:rsidP="00103CE4">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 xml:space="preserve">По требованию Банка России Отчет составляется по состоянию на указанную в письменном требовании Банка России дату и представляется в Банк России </w:t>
      </w:r>
      <w:r w:rsidR="002F57FD">
        <w:rPr>
          <w:rFonts w:ascii="Times New Roman" w:eastAsia="Calibri" w:hAnsi="Times New Roman"/>
          <w:color w:val="000000" w:themeColor="text1"/>
          <w:sz w:val="28"/>
          <w:szCs w:val="28"/>
        </w:rPr>
        <w:t>в срок, указанный в</w:t>
      </w:r>
      <w:r w:rsidRPr="007B438D">
        <w:rPr>
          <w:rFonts w:ascii="Times New Roman" w:eastAsia="Calibri" w:hAnsi="Times New Roman"/>
          <w:color w:val="000000" w:themeColor="text1"/>
          <w:sz w:val="28"/>
          <w:szCs w:val="28"/>
        </w:rPr>
        <w:t xml:space="preserve"> письменно</w:t>
      </w:r>
      <w:r w:rsidR="002F57FD">
        <w:rPr>
          <w:rFonts w:ascii="Times New Roman" w:eastAsia="Calibri" w:hAnsi="Times New Roman"/>
          <w:color w:val="000000" w:themeColor="text1"/>
          <w:sz w:val="28"/>
          <w:szCs w:val="28"/>
        </w:rPr>
        <w:t>м</w:t>
      </w:r>
      <w:r w:rsidRPr="007B438D">
        <w:rPr>
          <w:rFonts w:ascii="Times New Roman" w:eastAsia="Calibri" w:hAnsi="Times New Roman"/>
          <w:color w:val="000000" w:themeColor="text1"/>
          <w:sz w:val="28"/>
          <w:szCs w:val="28"/>
        </w:rPr>
        <w:t xml:space="preserve"> требовани</w:t>
      </w:r>
      <w:r w:rsidR="002F57FD">
        <w:rPr>
          <w:rFonts w:ascii="Times New Roman" w:eastAsia="Calibri" w:hAnsi="Times New Roman"/>
          <w:color w:val="000000" w:themeColor="text1"/>
          <w:sz w:val="28"/>
          <w:szCs w:val="28"/>
        </w:rPr>
        <w:t>и</w:t>
      </w:r>
      <w:r w:rsidRPr="007B438D">
        <w:rPr>
          <w:rFonts w:ascii="Times New Roman" w:eastAsia="Calibri" w:hAnsi="Times New Roman"/>
          <w:color w:val="000000" w:themeColor="text1"/>
          <w:sz w:val="28"/>
          <w:szCs w:val="28"/>
        </w:rPr>
        <w:t xml:space="preserve"> Банка России.</w:t>
      </w:r>
    </w:p>
    <w:p w14:paraId="3B55FDE5" w14:textId="77777777" w:rsidR="00103CE4" w:rsidRPr="00770236" w:rsidRDefault="00770236" w:rsidP="00103CE4">
      <w:pPr>
        <w:pStyle w:val="a3"/>
        <w:numPr>
          <w:ilvl w:val="1"/>
          <w:numId w:val="1"/>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7B438D">
        <w:rPr>
          <w:rFonts w:ascii="Times New Roman" w:eastAsia="Calibri" w:hAnsi="Times New Roman"/>
          <w:color w:val="000000" w:themeColor="text1"/>
          <w:sz w:val="28"/>
          <w:szCs w:val="28"/>
        </w:rPr>
        <w:t xml:space="preserve">В случае отсутствия данных по отдельным показателям Отчета </w:t>
      </w:r>
      <w:r w:rsidRPr="007B438D">
        <w:rPr>
          <w:rFonts w:ascii="Times New Roman" w:eastAsia="Calibri" w:hAnsi="Times New Roman"/>
          <w:color w:val="000000" w:themeColor="text1"/>
          <w:sz w:val="28"/>
          <w:szCs w:val="28"/>
        </w:rPr>
        <w:br/>
        <w:t>в соответствующей графе Отчета проставляется «0» (ноль) для числовых показателей.</w:t>
      </w:r>
    </w:p>
    <w:p w14:paraId="4F529A6D" w14:textId="77777777" w:rsidR="00770236" w:rsidRPr="00770236" w:rsidRDefault="00770236" w:rsidP="00103CE4">
      <w:pPr>
        <w:pStyle w:val="a3"/>
        <w:numPr>
          <w:ilvl w:val="1"/>
          <w:numId w:val="1"/>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7B438D">
        <w:rPr>
          <w:rFonts w:ascii="Times New Roman" w:eastAsia="Calibri" w:hAnsi="Times New Roman"/>
          <w:color w:val="000000" w:themeColor="text1"/>
          <w:sz w:val="28"/>
          <w:szCs w:val="28"/>
        </w:rPr>
        <w:t>Значения показателей отражаются в Отчете следующим образом:</w:t>
      </w:r>
    </w:p>
    <w:p w14:paraId="2EFB1A3F" w14:textId="77777777" w:rsidR="00770236" w:rsidRDefault="00770236" w:rsidP="00770236">
      <w:pPr>
        <w:tabs>
          <w:tab w:val="left" w:pos="851"/>
          <w:tab w:val="left" w:pos="993"/>
        </w:tabs>
        <w:autoSpaceDE w:val="0"/>
        <w:autoSpaceDN w:val="0"/>
        <w:adjustRightInd w:val="0"/>
        <w:spacing w:after="0" w:line="360" w:lineRule="auto"/>
        <w:ind w:left="709"/>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количественные показатели приводятся в штуках или единицах;</w:t>
      </w:r>
    </w:p>
    <w:p w14:paraId="722AA3C6" w14:textId="77777777" w:rsidR="00770236" w:rsidRDefault="00770236" w:rsidP="00770236">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стоимостные показатели приводятся в рублях в виде целого числа</w:t>
      </w:r>
      <w:r w:rsidRPr="007B438D" w:rsidDel="006E58C7">
        <w:rPr>
          <w:rFonts w:ascii="Times New Roman" w:eastAsia="Calibri" w:hAnsi="Times New Roman"/>
          <w:color w:val="000000" w:themeColor="text1"/>
          <w:sz w:val="28"/>
          <w:szCs w:val="28"/>
        </w:rPr>
        <w:t xml:space="preserve"> </w:t>
      </w:r>
      <w:r w:rsidRPr="007B438D">
        <w:rPr>
          <w:rFonts w:ascii="Times New Roman" w:eastAsia="Calibri" w:hAnsi="Times New Roman"/>
          <w:color w:val="000000" w:themeColor="text1"/>
          <w:sz w:val="28"/>
          <w:szCs w:val="28"/>
        </w:rPr>
        <w:t>(с округлением по правилам математического округления);</w:t>
      </w:r>
    </w:p>
    <w:p w14:paraId="68D9C84E" w14:textId="77777777" w:rsidR="00770236" w:rsidRDefault="00770236" w:rsidP="00770236">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 xml:space="preserve">номинированные в иностранной валюте активы отражаются в рублевом эквиваленте </w:t>
      </w:r>
      <w:r w:rsidRPr="007B438D">
        <w:rPr>
          <w:rFonts w:ascii="Times New Roman" w:hAnsi="Times New Roman"/>
          <w:color w:val="000000" w:themeColor="text1"/>
          <w:sz w:val="28"/>
          <w:szCs w:val="28"/>
        </w:rPr>
        <w:t>по официальному курсу иностранной валюты по отношению к рублю, установленному Банком России в соответствии с пунктом 15 статьи 4 Федерального закона от 10 июля 2002 года № 86-ФЗ «О Центральном банке Российской Федерации (Банке России)» (далее – официальный курс Банка России)</w:t>
      </w:r>
      <w:r w:rsidRPr="007B438D">
        <w:rPr>
          <w:rFonts w:ascii="Times New Roman" w:eastAsia="Calibri" w:hAnsi="Times New Roman"/>
          <w:color w:val="000000" w:themeColor="text1"/>
          <w:sz w:val="28"/>
          <w:szCs w:val="28"/>
        </w:rPr>
        <w:t>;</w:t>
      </w:r>
    </w:p>
    <w:p w14:paraId="05E64F67" w14:textId="77777777" w:rsidR="00C031B4" w:rsidRDefault="00C031B4" w:rsidP="00770236">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даты указываются в формате «</w:t>
      </w:r>
      <w:proofErr w:type="spellStart"/>
      <w:r w:rsidRPr="007B438D">
        <w:rPr>
          <w:rFonts w:ascii="Times New Roman" w:eastAsia="Calibri" w:hAnsi="Times New Roman"/>
          <w:color w:val="000000" w:themeColor="text1"/>
          <w:sz w:val="28"/>
          <w:szCs w:val="28"/>
        </w:rPr>
        <w:t>гггг</w:t>
      </w:r>
      <w:proofErr w:type="spellEnd"/>
      <w:r w:rsidRPr="007B438D">
        <w:rPr>
          <w:rFonts w:ascii="Times New Roman" w:eastAsia="Calibri" w:hAnsi="Times New Roman"/>
          <w:color w:val="000000" w:themeColor="text1"/>
          <w:sz w:val="28"/>
          <w:szCs w:val="28"/>
        </w:rPr>
        <w:t>-мм-</w:t>
      </w:r>
      <w:proofErr w:type="spellStart"/>
      <w:r w:rsidRPr="007B438D">
        <w:rPr>
          <w:rFonts w:ascii="Times New Roman" w:eastAsia="Calibri" w:hAnsi="Times New Roman"/>
          <w:color w:val="000000" w:themeColor="text1"/>
          <w:sz w:val="28"/>
          <w:szCs w:val="28"/>
        </w:rPr>
        <w:t>дд</w:t>
      </w:r>
      <w:proofErr w:type="spellEnd"/>
      <w:r w:rsidRPr="007B438D">
        <w:rPr>
          <w:rFonts w:ascii="Times New Roman" w:eastAsia="Calibri" w:hAnsi="Times New Roman"/>
          <w:color w:val="000000" w:themeColor="text1"/>
          <w:sz w:val="28"/>
          <w:szCs w:val="28"/>
        </w:rPr>
        <w:t>», где «</w:t>
      </w:r>
      <w:proofErr w:type="spellStart"/>
      <w:r w:rsidRPr="007B438D">
        <w:rPr>
          <w:rFonts w:ascii="Times New Roman" w:eastAsia="Calibri" w:hAnsi="Times New Roman"/>
          <w:color w:val="000000" w:themeColor="text1"/>
          <w:sz w:val="28"/>
          <w:szCs w:val="28"/>
        </w:rPr>
        <w:t>гггг</w:t>
      </w:r>
      <w:proofErr w:type="spellEnd"/>
      <w:r w:rsidRPr="007B438D">
        <w:rPr>
          <w:rFonts w:ascii="Times New Roman" w:eastAsia="Calibri" w:hAnsi="Times New Roman"/>
          <w:color w:val="000000" w:themeColor="text1"/>
          <w:sz w:val="28"/>
          <w:szCs w:val="28"/>
        </w:rPr>
        <w:t>» – год, «мм» – месяц, «</w:t>
      </w:r>
      <w:proofErr w:type="spellStart"/>
      <w:r w:rsidRPr="007B438D">
        <w:rPr>
          <w:rFonts w:ascii="Times New Roman" w:eastAsia="Calibri" w:hAnsi="Times New Roman"/>
          <w:color w:val="000000" w:themeColor="text1"/>
          <w:sz w:val="28"/>
          <w:szCs w:val="28"/>
        </w:rPr>
        <w:t>дд</w:t>
      </w:r>
      <w:proofErr w:type="spellEnd"/>
      <w:r w:rsidRPr="007B438D">
        <w:rPr>
          <w:rFonts w:ascii="Times New Roman" w:eastAsia="Calibri" w:hAnsi="Times New Roman"/>
          <w:color w:val="000000" w:themeColor="text1"/>
          <w:sz w:val="28"/>
          <w:szCs w:val="28"/>
        </w:rPr>
        <w:t>» – день.</w:t>
      </w:r>
    </w:p>
    <w:p w14:paraId="6F80C794" w14:textId="77777777" w:rsidR="00C031B4" w:rsidRPr="00C031B4" w:rsidRDefault="00C031B4" w:rsidP="00C031B4">
      <w:pPr>
        <w:pStyle w:val="a3"/>
        <w:numPr>
          <w:ilvl w:val="1"/>
          <w:numId w:val="1"/>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7B438D">
        <w:rPr>
          <w:rFonts w:ascii="Times New Roman" w:eastAsia="Calibri" w:hAnsi="Times New Roman"/>
          <w:color w:val="000000" w:themeColor="text1"/>
          <w:sz w:val="28"/>
          <w:szCs w:val="28"/>
        </w:rPr>
        <w:t xml:space="preserve">Понятия «резидент» и «нерезидент» используются для составления Отчета в значениях, установленных пунктами 6 и 7 части 1 статьи 1 </w:t>
      </w:r>
      <w:r w:rsidRPr="007B438D">
        <w:rPr>
          <w:rFonts w:ascii="Times New Roman" w:eastAsia="Calibri" w:hAnsi="Times New Roman"/>
          <w:color w:val="000000" w:themeColor="text1"/>
          <w:sz w:val="28"/>
          <w:szCs w:val="28"/>
        </w:rPr>
        <w:lastRenderedPageBreak/>
        <w:t>Федерального закона от 10 декабря 2003 года № 173-ФЗ «О валютном регулировании и валютном контроле».</w:t>
      </w:r>
    </w:p>
    <w:p w14:paraId="3A757C91" w14:textId="77777777" w:rsidR="00C031B4" w:rsidRDefault="00C031B4" w:rsidP="00C031B4">
      <w:pPr>
        <w:tabs>
          <w:tab w:val="left" w:pos="851"/>
          <w:tab w:val="left" w:pos="993"/>
        </w:tabs>
        <w:autoSpaceDE w:val="0"/>
        <w:autoSpaceDN w:val="0"/>
        <w:adjustRightInd w:val="0"/>
        <w:spacing w:after="0" w:line="360" w:lineRule="auto"/>
        <w:ind w:firstLine="709"/>
        <w:jc w:val="both"/>
        <w:outlineLvl w:val="0"/>
        <w:rPr>
          <w:rFonts w:ascii="Times New Roman" w:hAnsi="Times New Roman"/>
          <w:color w:val="000000" w:themeColor="text1"/>
          <w:sz w:val="28"/>
          <w:szCs w:val="28"/>
        </w:rPr>
      </w:pPr>
      <w:r w:rsidRPr="007B438D">
        <w:rPr>
          <w:rFonts w:ascii="Times New Roman" w:hAnsi="Times New Roman"/>
          <w:color w:val="000000" w:themeColor="text1"/>
          <w:sz w:val="28"/>
          <w:szCs w:val="28"/>
        </w:rPr>
        <w:t xml:space="preserve">Хозяйственное общество со статусом международной компании, зарегистрированное в едином государственном реестре юридических лиц (далее – ЕГРЮЛ) в порядке инкорпорации в соответствии со статьей 1 </w:t>
      </w:r>
      <w:r w:rsidRPr="007B438D">
        <w:rPr>
          <w:rFonts w:ascii="Times New Roman" w:hAnsi="Times New Roman"/>
          <w:color w:val="000000" w:themeColor="text1"/>
          <w:sz w:val="28"/>
          <w:szCs w:val="28"/>
          <w:lang w:eastAsia="ru-RU"/>
        </w:rPr>
        <w:t xml:space="preserve">Федерального закона от </w:t>
      </w:r>
      <w:r w:rsidRPr="007B438D">
        <w:rPr>
          <w:rFonts w:ascii="Times New Roman" w:hAnsi="Times New Roman"/>
          <w:color w:val="000000" w:themeColor="text1"/>
          <w:sz w:val="28"/>
          <w:szCs w:val="28"/>
        </w:rPr>
        <w:t xml:space="preserve">3 августа 2018 года № 290-ФЗ «О международных компаниях и международных фондах» (далее – Федеральный закон </w:t>
      </w:r>
      <w:r w:rsidRPr="007B438D">
        <w:rPr>
          <w:rFonts w:ascii="Times New Roman" w:hAnsi="Times New Roman"/>
          <w:color w:val="000000" w:themeColor="text1"/>
          <w:sz w:val="28"/>
          <w:szCs w:val="28"/>
        </w:rPr>
        <w:br/>
        <w:t>№ 290-ФЗ), отражается в Отчете в качестве резидента.</w:t>
      </w:r>
    </w:p>
    <w:p w14:paraId="48388DA2" w14:textId="77777777" w:rsidR="00C031B4" w:rsidRPr="00C031B4" w:rsidRDefault="00C031B4" w:rsidP="00C031B4">
      <w:pPr>
        <w:pStyle w:val="a3"/>
        <w:numPr>
          <w:ilvl w:val="1"/>
          <w:numId w:val="1"/>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7B438D">
        <w:rPr>
          <w:rFonts w:ascii="Times New Roman" w:eastAsia="Calibri" w:hAnsi="Times New Roman"/>
          <w:color w:val="000000" w:themeColor="text1"/>
          <w:sz w:val="28"/>
          <w:szCs w:val="28"/>
        </w:rPr>
        <w:t>В целях составления Отчета уровень риска, на основании которого осуществляется отнесение клиентов к категориям по уровням риска (далее – уровень риска), определяется в соответствии с требованиями пунктов 28 и 34 Указания Банка России № 6681-У.</w:t>
      </w:r>
    </w:p>
    <w:p w14:paraId="3C9E5A37" w14:textId="77777777" w:rsidR="00C031B4" w:rsidRPr="00C031B4" w:rsidRDefault="00C031B4" w:rsidP="00C031B4">
      <w:pPr>
        <w:pStyle w:val="a3"/>
        <w:numPr>
          <w:ilvl w:val="1"/>
          <w:numId w:val="1"/>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7B438D">
        <w:rPr>
          <w:rFonts w:ascii="Times New Roman" w:eastAsia="Calibri" w:hAnsi="Times New Roman"/>
          <w:color w:val="000000" w:themeColor="text1"/>
          <w:sz w:val="28"/>
          <w:szCs w:val="28"/>
        </w:rPr>
        <w:t xml:space="preserve">В целях составления Отчета признание клиента квалифицированным инвестором осуществляется в соответствии с требованиями, установленными главой 2 Указания Банка России от 29 апреля 2015 года № 3629-У «О признании лиц квалифицированными инвесторами </w:t>
      </w:r>
      <w:r w:rsidRPr="007B438D">
        <w:rPr>
          <w:rFonts w:ascii="Times New Roman" w:eastAsia="Calibri" w:hAnsi="Times New Roman"/>
          <w:color w:val="000000" w:themeColor="text1"/>
          <w:sz w:val="28"/>
          <w:szCs w:val="28"/>
        </w:rPr>
        <w:br/>
        <w:t>и порядке ведения реестра лиц, признанных квалифицированными инвесторами»</w:t>
      </w:r>
      <w:r w:rsidRPr="007B438D">
        <w:rPr>
          <w:rFonts w:ascii="Times New Roman" w:eastAsia="Calibri" w:hAnsi="Times New Roman"/>
          <w:color w:val="000000" w:themeColor="text1"/>
          <w:sz w:val="28"/>
          <w:szCs w:val="28"/>
          <w:vertAlign w:val="superscript"/>
        </w:rPr>
        <w:footnoteReference w:id="3"/>
      </w:r>
      <w:r w:rsidRPr="007B438D">
        <w:rPr>
          <w:rFonts w:ascii="Times New Roman" w:eastAsia="Calibri" w:hAnsi="Times New Roman"/>
          <w:color w:val="000000" w:themeColor="text1"/>
          <w:sz w:val="28"/>
          <w:szCs w:val="28"/>
        </w:rPr>
        <w:t>.</w:t>
      </w:r>
    </w:p>
    <w:p w14:paraId="21F7CC12" w14:textId="77777777" w:rsidR="00C031B4" w:rsidRDefault="00C031B4" w:rsidP="00C031B4">
      <w:pPr>
        <w:tabs>
          <w:tab w:val="left" w:pos="851"/>
          <w:tab w:val="left" w:pos="993"/>
        </w:tabs>
        <w:autoSpaceDE w:val="0"/>
        <w:autoSpaceDN w:val="0"/>
        <w:adjustRightInd w:val="0"/>
        <w:spacing w:after="0" w:line="360" w:lineRule="auto"/>
        <w:ind w:left="709"/>
        <w:jc w:val="both"/>
        <w:outlineLvl w:val="0"/>
        <w:rPr>
          <w:rFonts w:ascii="Times New Roman" w:hAnsi="Times New Roman"/>
          <w:sz w:val="28"/>
          <w:szCs w:val="28"/>
        </w:rPr>
      </w:pPr>
    </w:p>
    <w:p w14:paraId="3A5C8B15" w14:textId="77777777" w:rsidR="00C031B4" w:rsidRDefault="00C031B4" w:rsidP="00C031B4">
      <w:pPr>
        <w:tabs>
          <w:tab w:val="left" w:pos="851"/>
          <w:tab w:val="left" w:pos="993"/>
        </w:tabs>
        <w:autoSpaceDE w:val="0"/>
        <w:autoSpaceDN w:val="0"/>
        <w:adjustRightInd w:val="0"/>
        <w:spacing w:after="0" w:line="360" w:lineRule="auto"/>
        <w:ind w:left="709"/>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Глава 2. Составление раздела 1 Отчета</w:t>
      </w:r>
    </w:p>
    <w:p w14:paraId="0B50757B" w14:textId="77777777" w:rsidR="00C031B4" w:rsidRDefault="00C031B4" w:rsidP="00C031B4">
      <w:pPr>
        <w:tabs>
          <w:tab w:val="left" w:pos="851"/>
          <w:tab w:val="left" w:pos="993"/>
        </w:tabs>
        <w:autoSpaceDE w:val="0"/>
        <w:autoSpaceDN w:val="0"/>
        <w:adjustRightInd w:val="0"/>
        <w:spacing w:after="0" w:line="360" w:lineRule="auto"/>
        <w:ind w:left="709"/>
        <w:jc w:val="both"/>
        <w:outlineLvl w:val="0"/>
        <w:rPr>
          <w:rFonts w:ascii="Times New Roman" w:eastAsia="Calibri" w:hAnsi="Times New Roman"/>
          <w:color w:val="000000" w:themeColor="text1"/>
          <w:sz w:val="28"/>
          <w:szCs w:val="28"/>
        </w:rPr>
      </w:pPr>
    </w:p>
    <w:p w14:paraId="28B7A2C9" w14:textId="77777777" w:rsidR="00C031B4" w:rsidRPr="00C031B4" w:rsidRDefault="00C031B4" w:rsidP="00D22C9E">
      <w:pPr>
        <w:pStyle w:val="a3"/>
        <w:numPr>
          <w:ilvl w:val="1"/>
          <w:numId w:val="4"/>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7B438D">
        <w:rPr>
          <w:rFonts w:ascii="Times New Roman" w:eastAsia="Calibri" w:hAnsi="Times New Roman"/>
          <w:color w:val="000000" w:themeColor="text1"/>
          <w:sz w:val="28"/>
          <w:szCs w:val="28"/>
        </w:rPr>
        <w:t>Значения показателей раздела 1 Отчета (далее – раздел 1) отражаются по состоянию на конец последнего календарного дня отчетного периода.</w:t>
      </w:r>
    </w:p>
    <w:p w14:paraId="0037D47A" w14:textId="2B4823C4" w:rsidR="00E2245F" w:rsidRPr="00E2245F" w:rsidRDefault="00E2245F" w:rsidP="00A863E7">
      <w:pPr>
        <w:pStyle w:val="a3"/>
        <w:numPr>
          <w:ilvl w:val="1"/>
          <w:numId w:val="4"/>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7B438D">
        <w:rPr>
          <w:rFonts w:ascii="Times New Roman" w:eastAsia="Calibri" w:hAnsi="Times New Roman"/>
          <w:color w:val="000000" w:themeColor="text1"/>
          <w:sz w:val="28"/>
          <w:szCs w:val="28"/>
        </w:rPr>
        <w:t>В целях составления Отчета</w:t>
      </w:r>
      <w:r>
        <w:rPr>
          <w:rFonts w:ascii="Times New Roman" w:eastAsia="Calibri" w:hAnsi="Times New Roman"/>
          <w:color w:val="000000" w:themeColor="text1"/>
          <w:sz w:val="28"/>
          <w:szCs w:val="28"/>
        </w:rPr>
        <w:t xml:space="preserve"> информация по показателям раздела 1 Отчета раскрывается в разрезе следующих граф.</w:t>
      </w:r>
    </w:p>
    <w:p w14:paraId="0990EDA6" w14:textId="3508AE84" w:rsidR="00E2245F" w:rsidRPr="00E2245F" w:rsidRDefault="00846814" w:rsidP="00916B26">
      <w:pPr>
        <w:pStyle w:val="a3"/>
        <w:numPr>
          <w:ilvl w:val="2"/>
          <w:numId w:val="4"/>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B57FC1">
        <w:rPr>
          <w:rFonts w:ascii="Times New Roman" w:hAnsi="Times New Roman"/>
          <w:sz w:val="28"/>
          <w:szCs w:val="28"/>
        </w:rPr>
        <w:lastRenderedPageBreak/>
        <w:t>В</w:t>
      </w:r>
      <w:r w:rsidR="00E2245F">
        <w:rPr>
          <w:rFonts w:ascii="Times New Roman" w:hAnsi="Times New Roman"/>
          <w:sz w:val="28"/>
          <w:szCs w:val="28"/>
        </w:rPr>
        <w:t xml:space="preserve"> графе </w:t>
      </w:r>
      <w:r w:rsidR="00E2245F">
        <w:rPr>
          <w:rFonts w:ascii="Times New Roman" w:eastAsia="Calibri" w:hAnsi="Times New Roman"/>
          <w:color w:val="000000" w:themeColor="text1"/>
          <w:sz w:val="28"/>
          <w:szCs w:val="28"/>
        </w:rPr>
        <w:t xml:space="preserve">«Тип клиента» раздела 1 </w:t>
      </w:r>
      <w:r w:rsidR="00E2245F" w:rsidRPr="00E2245F">
        <w:rPr>
          <w:rFonts w:ascii="Times New Roman" w:hAnsi="Times New Roman"/>
          <w:sz w:val="28"/>
          <w:szCs w:val="28"/>
          <w:lang w:eastAsia="ru-RU"/>
        </w:rPr>
        <w:t>указывается тип клиента, в отношении портфеля которого приводятся показатели</w:t>
      </w:r>
      <w:r w:rsidR="00E2245F">
        <w:rPr>
          <w:rFonts w:ascii="Times New Roman" w:hAnsi="Times New Roman"/>
          <w:sz w:val="28"/>
          <w:szCs w:val="28"/>
          <w:lang w:eastAsia="ru-RU"/>
        </w:rPr>
        <w:t>.</w:t>
      </w:r>
      <w:r w:rsidR="00916B26">
        <w:rPr>
          <w:rFonts w:ascii="Times New Roman" w:hAnsi="Times New Roman"/>
          <w:sz w:val="28"/>
          <w:szCs w:val="28"/>
          <w:lang w:eastAsia="ru-RU"/>
        </w:rPr>
        <w:t xml:space="preserve"> </w:t>
      </w:r>
      <w:r w:rsidR="00916B26" w:rsidRPr="00916B26">
        <w:rPr>
          <w:rFonts w:ascii="Times New Roman" w:hAnsi="Times New Roman"/>
          <w:sz w:val="28"/>
          <w:szCs w:val="28"/>
          <w:lang w:eastAsia="ru-RU"/>
        </w:rPr>
        <w:t xml:space="preserve">Информация раскрывается в </w:t>
      </w:r>
      <w:r w:rsidR="00916B26">
        <w:rPr>
          <w:rFonts w:ascii="Times New Roman" w:hAnsi="Times New Roman"/>
          <w:sz w:val="28"/>
          <w:szCs w:val="28"/>
          <w:lang w:eastAsia="ru-RU"/>
        </w:rPr>
        <w:t>следующих разрезах:</w:t>
      </w:r>
    </w:p>
    <w:p w14:paraId="42AFDB9D" w14:textId="24E8E1E6" w:rsidR="00896677" w:rsidRPr="00A863E7" w:rsidRDefault="00223077" w:rsidP="00916B26">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ф</w:t>
      </w:r>
      <w:r w:rsidR="00896677" w:rsidRPr="00A863E7">
        <w:rPr>
          <w:rFonts w:ascii="Times New Roman" w:hAnsi="Times New Roman"/>
          <w:sz w:val="28"/>
          <w:szCs w:val="28"/>
        </w:rPr>
        <w:t>изические лица;</w:t>
      </w:r>
    </w:p>
    <w:p w14:paraId="6F88E262" w14:textId="4523258C" w:rsidR="00896677" w:rsidRDefault="00223077" w:rsidP="00916B26">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ю</w:t>
      </w:r>
      <w:r w:rsidR="00896677" w:rsidRPr="00A863E7">
        <w:rPr>
          <w:rFonts w:ascii="Times New Roman" w:hAnsi="Times New Roman"/>
          <w:sz w:val="28"/>
          <w:szCs w:val="28"/>
        </w:rPr>
        <w:t>ридические лица.</w:t>
      </w:r>
    </w:p>
    <w:p w14:paraId="70643F7A" w14:textId="785D708E" w:rsidR="00916B26" w:rsidRPr="00916B26" w:rsidRDefault="00846814" w:rsidP="00A57A1C">
      <w:pPr>
        <w:pStyle w:val="a3"/>
        <w:numPr>
          <w:ilvl w:val="2"/>
          <w:numId w:val="4"/>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B57FC1">
        <w:rPr>
          <w:rFonts w:ascii="Times New Roman" w:hAnsi="Times New Roman"/>
          <w:sz w:val="28"/>
          <w:szCs w:val="28"/>
        </w:rPr>
        <w:t>В</w:t>
      </w:r>
      <w:r w:rsidR="00916B26">
        <w:rPr>
          <w:rFonts w:ascii="Times New Roman" w:hAnsi="Times New Roman"/>
          <w:sz w:val="28"/>
          <w:szCs w:val="28"/>
        </w:rPr>
        <w:t xml:space="preserve"> графе </w:t>
      </w:r>
      <w:r w:rsidR="00916B26">
        <w:rPr>
          <w:rFonts w:ascii="Times New Roman" w:eastAsia="Calibri" w:hAnsi="Times New Roman"/>
          <w:color w:val="000000" w:themeColor="text1"/>
          <w:sz w:val="28"/>
          <w:szCs w:val="28"/>
        </w:rPr>
        <w:t>«</w:t>
      </w:r>
      <w:r w:rsidR="00916B26" w:rsidRPr="00896677">
        <w:rPr>
          <w:rFonts w:ascii="Times New Roman" w:eastAsia="Calibri" w:hAnsi="Times New Roman"/>
          <w:color w:val="000000" w:themeColor="text1"/>
          <w:sz w:val="28"/>
          <w:szCs w:val="28"/>
        </w:rPr>
        <w:t>Резидентский статус</w:t>
      </w:r>
      <w:r w:rsidR="00916B26">
        <w:rPr>
          <w:rFonts w:ascii="Times New Roman" w:eastAsia="Calibri" w:hAnsi="Times New Roman"/>
          <w:color w:val="000000" w:themeColor="text1"/>
          <w:sz w:val="28"/>
          <w:szCs w:val="28"/>
        </w:rPr>
        <w:t xml:space="preserve">» </w:t>
      </w:r>
      <w:r w:rsidR="00916B26" w:rsidRPr="007B438D">
        <w:rPr>
          <w:rFonts w:ascii="Times New Roman" w:eastAsia="Calibri" w:hAnsi="Times New Roman"/>
          <w:color w:val="000000" w:themeColor="text1"/>
          <w:sz w:val="28"/>
          <w:szCs w:val="28"/>
        </w:rPr>
        <w:t>раздела 1 указывается резидентский статус клиента</w:t>
      </w:r>
      <w:r w:rsidR="00A57A1C">
        <w:rPr>
          <w:rFonts w:ascii="Times New Roman" w:eastAsia="Calibri" w:hAnsi="Times New Roman"/>
          <w:color w:val="000000" w:themeColor="text1"/>
          <w:sz w:val="28"/>
          <w:szCs w:val="28"/>
        </w:rPr>
        <w:t xml:space="preserve">, </w:t>
      </w:r>
      <w:r w:rsidR="00A57A1C" w:rsidRPr="00A57A1C">
        <w:rPr>
          <w:rFonts w:ascii="Times New Roman" w:hAnsi="Times New Roman"/>
          <w:sz w:val="28"/>
          <w:szCs w:val="28"/>
          <w:lang w:eastAsia="ru-RU"/>
        </w:rPr>
        <w:t>в отношении портфеля которого приводятся показатели</w:t>
      </w:r>
      <w:r w:rsidR="00A57A1C">
        <w:rPr>
          <w:rFonts w:ascii="Times New Roman" w:hAnsi="Times New Roman"/>
          <w:sz w:val="28"/>
          <w:szCs w:val="28"/>
          <w:lang w:eastAsia="ru-RU"/>
        </w:rPr>
        <w:t xml:space="preserve">. </w:t>
      </w:r>
      <w:r w:rsidR="00A57A1C" w:rsidRPr="00916B26">
        <w:rPr>
          <w:rFonts w:ascii="Times New Roman" w:hAnsi="Times New Roman"/>
          <w:sz w:val="28"/>
          <w:szCs w:val="28"/>
          <w:lang w:eastAsia="ru-RU"/>
        </w:rPr>
        <w:t xml:space="preserve">Информация раскрывается в </w:t>
      </w:r>
      <w:r w:rsidR="00A57A1C">
        <w:rPr>
          <w:rFonts w:ascii="Times New Roman" w:hAnsi="Times New Roman"/>
          <w:sz w:val="28"/>
          <w:szCs w:val="28"/>
          <w:lang w:eastAsia="ru-RU"/>
        </w:rPr>
        <w:t>следующих разрезах:</w:t>
      </w:r>
    </w:p>
    <w:p w14:paraId="500ECF94" w14:textId="01CCDD02" w:rsidR="00896677" w:rsidRPr="00A863E7" w:rsidRDefault="00B57FC1" w:rsidP="00A57A1C">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р</w:t>
      </w:r>
      <w:r w:rsidR="00896677" w:rsidRPr="00A863E7">
        <w:rPr>
          <w:rFonts w:ascii="Times New Roman" w:hAnsi="Times New Roman"/>
          <w:sz w:val="28"/>
          <w:szCs w:val="28"/>
        </w:rPr>
        <w:t>езидент;</w:t>
      </w:r>
    </w:p>
    <w:p w14:paraId="633E464B" w14:textId="3C27F7EE" w:rsidR="00896677" w:rsidRDefault="00B57FC1" w:rsidP="00A57A1C">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н</w:t>
      </w:r>
      <w:r w:rsidR="00896677" w:rsidRPr="00A863E7">
        <w:rPr>
          <w:rFonts w:ascii="Times New Roman" w:hAnsi="Times New Roman"/>
          <w:sz w:val="28"/>
          <w:szCs w:val="28"/>
        </w:rPr>
        <w:t>ерезидент.</w:t>
      </w:r>
    </w:p>
    <w:p w14:paraId="645F2A3E" w14:textId="1A3E25BD" w:rsidR="00A57A1C" w:rsidRPr="00A57A1C" w:rsidRDefault="00846814" w:rsidP="00A57A1C">
      <w:pPr>
        <w:pStyle w:val="a3"/>
        <w:numPr>
          <w:ilvl w:val="2"/>
          <w:numId w:val="4"/>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B57FC1">
        <w:rPr>
          <w:rFonts w:ascii="Times New Roman" w:hAnsi="Times New Roman"/>
          <w:sz w:val="28"/>
          <w:szCs w:val="28"/>
        </w:rPr>
        <w:t>В</w:t>
      </w:r>
      <w:r w:rsidR="00A57A1C">
        <w:rPr>
          <w:rFonts w:ascii="Times New Roman" w:hAnsi="Times New Roman"/>
          <w:sz w:val="28"/>
          <w:szCs w:val="28"/>
        </w:rPr>
        <w:t xml:space="preserve"> графе «Уровень риска» </w:t>
      </w:r>
      <w:r w:rsidR="00A57A1C" w:rsidRPr="007B438D">
        <w:rPr>
          <w:rFonts w:ascii="Times New Roman" w:eastAsia="Calibri" w:hAnsi="Times New Roman"/>
          <w:color w:val="000000" w:themeColor="text1"/>
          <w:sz w:val="28"/>
          <w:szCs w:val="28"/>
        </w:rPr>
        <w:t>раздела 1 указывается уровень риска, присвоенный клиенту</w:t>
      </w:r>
      <w:r w:rsidR="00A57A1C">
        <w:rPr>
          <w:rFonts w:ascii="Times New Roman" w:eastAsia="Calibri" w:hAnsi="Times New Roman"/>
          <w:color w:val="000000" w:themeColor="text1"/>
          <w:sz w:val="28"/>
          <w:szCs w:val="28"/>
        </w:rPr>
        <w:t xml:space="preserve">. </w:t>
      </w:r>
      <w:r w:rsidR="00A57A1C" w:rsidRPr="00916B26">
        <w:rPr>
          <w:rFonts w:ascii="Times New Roman" w:hAnsi="Times New Roman"/>
          <w:sz w:val="28"/>
          <w:szCs w:val="28"/>
          <w:lang w:eastAsia="ru-RU"/>
        </w:rPr>
        <w:t xml:space="preserve">Информация раскрывается в </w:t>
      </w:r>
      <w:r w:rsidR="00A57A1C">
        <w:rPr>
          <w:rFonts w:ascii="Times New Roman" w:hAnsi="Times New Roman"/>
          <w:sz w:val="28"/>
          <w:szCs w:val="28"/>
          <w:lang w:eastAsia="ru-RU"/>
        </w:rPr>
        <w:t>следующих разрезах:</w:t>
      </w:r>
    </w:p>
    <w:p w14:paraId="2D5B01AF" w14:textId="0F0D085B" w:rsidR="00600FEE" w:rsidRPr="00A863E7" w:rsidRDefault="00B57FC1" w:rsidP="00A57A1C">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н</w:t>
      </w:r>
      <w:r w:rsidR="00600FEE" w:rsidRPr="00A863E7">
        <w:rPr>
          <w:rFonts w:ascii="Times New Roman" w:hAnsi="Times New Roman"/>
          <w:sz w:val="28"/>
          <w:szCs w:val="28"/>
        </w:rPr>
        <w:t>ачальный;</w:t>
      </w:r>
    </w:p>
    <w:p w14:paraId="175C6C5F" w14:textId="4F630E21" w:rsidR="00600FEE" w:rsidRPr="00A863E7" w:rsidRDefault="00B57FC1" w:rsidP="00A57A1C">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с</w:t>
      </w:r>
      <w:r w:rsidR="00600FEE" w:rsidRPr="00A863E7">
        <w:rPr>
          <w:rFonts w:ascii="Times New Roman" w:hAnsi="Times New Roman"/>
          <w:sz w:val="28"/>
          <w:szCs w:val="28"/>
        </w:rPr>
        <w:t>тандартный;</w:t>
      </w:r>
    </w:p>
    <w:p w14:paraId="4FB62B2A" w14:textId="4BA0E4C9" w:rsidR="00600FEE" w:rsidRPr="00A863E7" w:rsidRDefault="00B57FC1" w:rsidP="00A57A1C">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п</w:t>
      </w:r>
      <w:r w:rsidR="00600FEE" w:rsidRPr="00A863E7">
        <w:rPr>
          <w:rFonts w:ascii="Times New Roman" w:hAnsi="Times New Roman"/>
          <w:sz w:val="28"/>
          <w:szCs w:val="28"/>
        </w:rPr>
        <w:t>овышенный;</w:t>
      </w:r>
    </w:p>
    <w:p w14:paraId="25381516" w14:textId="0CA62D3A" w:rsidR="00600FEE" w:rsidRDefault="00B57FC1" w:rsidP="00A57A1C">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о</w:t>
      </w:r>
      <w:r w:rsidR="00600FEE" w:rsidRPr="00A863E7">
        <w:rPr>
          <w:rFonts w:ascii="Times New Roman" w:hAnsi="Times New Roman"/>
          <w:sz w:val="28"/>
          <w:szCs w:val="28"/>
        </w:rPr>
        <w:t>собый.</w:t>
      </w:r>
    </w:p>
    <w:p w14:paraId="5E21AF9C" w14:textId="66DEA2A5" w:rsidR="00A57A1C" w:rsidRPr="00A57A1C" w:rsidRDefault="00846814" w:rsidP="00A57A1C">
      <w:pPr>
        <w:pStyle w:val="a3"/>
        <w:numPr>
          <w:ilvl w:val="2"/>
          <w:numId w:val="4"/>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B57FC1">
        <w:rPr>
          <w:rFonts w:ascii="Times New Roman" w:hAnsi="Times New Roman"/>
          <w:sz w:val="28"/>
          <w:szCs w:val="28"/>
        </w:rPr>
        <w:t>В</w:t>
      </w:r>
      <w:r w:rsidR="00A57A1C">
        <w:rPr>
          <w:rFonts w:ascii="Times New Roman" w:hAnsi="Times New Roman"/>
          <w:sz w:val="28"/>
          <w:szCs w:val="28"/>
        </w:rPr>
        <w:t xml:space="preserve"> графе </w:t>
      </w:r>
      <w:r w:rsidR="00A57A1C">
        <w:rPr>
          <w:rFonts w:ascii="Times New Roman" w:eastAsia="Calibri" w:hAnsi="Times New Roman"/>
          <w:color w:val="000000" w:themeColor="text1"/>
          <w:sz w:val="28"/>
          <w:szCs w:val="28"/>
        </w:rPr>
        <w:t>«</w:t>
      </w:r>
      <w:r w:rsidR="00A57A1C" w:rsidRPr="00600FEE">
        <w:rPr>
          <w:rFonts w:ascii="Times New Roman" w:eastAsia="Calibri" w:hAnsi="Times New Roman"/>
          <w:color w:val="000000" w:themeColor="text1"/>
          <w:sz w:val="28"/>
          <w:szCs w:val="28"/>
        </w:rPr>
        <w:t>Квалификация инвестора</w:t>
      </w:r>
      <w:r w:rsidR="00A57A1C">
        <w:rPr>
          <w:rFonts w:ascii="Times New Roman" w:eastAsia="Calibri" w:hAnsi="Times New Roman"/>
          <w:color w:val="000000" w:themeColor="text1"/>
          <w:sz w:val="28"/>
          <w:szCs w:val="28"/>
        </w:rPr>
        <w:t xml:space="preserve">» </w:t>
      </w:r>
      <w:r w:rsidR="00A57A1C" w:rsidRPr="007B438D">
        <w:rPr>
          <w:rFonts w:ascii="Times New Roman" w:eastAsia="Calibri" w:hAnsi="Times New Roman"/>
          <w:color w:val="000000" w:themeColor="text1"/>
          <w:sz w:val="28"/>
          <w:szCs w:val="28"/>
        </w:rPr>
        <w:t>раздела 1 указывается квалификация клиента</w:t>
      </w:r>
      <w:r w:rsidR="00A57A1C">
        <w:rPr>
          <w:rFonts w:ascii="Times New Roman" w:eastAsia="Calibri" w:hAnsi="Times New Roman"/>
          <w:color w:val="000000" w:themeColor="text1"/>
          <w:sz w:val="28"/>
          <w:szCs w:val="28"/>
        </w:rPr>
        <w:t xml:space="preserve">, </w:t>
      </w:r>
      <w:r w:rsidR="00A57A1C" w:rsidRPr="00A57A1C">
        <w:rPr>
          <w:rFonts w:ascii="Times New Roman" w:hAnsi="Times New Roman"/>
          <w:sz w:val="28"/>
          <w:szCs w:val="28"/>
          <w:lang w:eastAsia="ru-RU"/>
        </w:rPr>
        <w:t>в отношении портфеля которого приводятся показатели</w:t>
      </w:r>
      <w:r w:rsidR="00A57A1C">
        <w:rPr>
          <w:rFonts w:ascii="Times New Roman" w:hAnsi="Times New Roman"/>
          <w:sz w:val="28"/>
          <w:szCs w:val="28"/>
          <w:lang w:eastAsia="ru-RU"/>
        </w:rPr>
        <w:t xml:space="preserve">. </w:t>
      </w:r>
      <w:r w:rsidR="00A57A1C" w:rsidRPr="00916B26">
        <w:rPr>
          <w:rFonts w:ascii="Times New Roman" w:hAnsi="Times New Roman"/>
          <w:sz w:val="28"/>
          <w:szCs w:val="28"/>
          <w:lang w:eastAsia="ru-RU"/>
        </w:rPr>
        <w:t xml:space="preserve">Информация раскрывается в </w:t>
      </w:r>
      <w:r w:rsidR="00A57A1C">
        <w:rPr>
          <w:rFonts w:ascii="Times New Roman" w:hAnsi="Times New Roman"/>
          <w:sz w:val="28"/>
          <w:szCs w:val="28"/>
          <w:lang w:eastAsia="ru-RU"/>
        </w:rPr>
        <w:t>следующих разрезах:</w:t>
      </w:r>
    </w:p>
    <w:p w14:paraId="7EF4DBE9" w14:textId="37A2B14A" w:rsidR="00AA2C5D" w:rsidRPr="00A863E7" w:rsidRDefault="00B57FC1" w:rsidP="00A57A1C">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к</w:t>
      </w:r>
      <w:r w:rsidR="00AA2C5D" w:rsidRPr="00A863E7">
        <w:rPr>
          <w:rFonts w:ascii="Times New Roman" w:hAnsi="Times New Roman"/>
          <w:sz w:val="28"/>
          <w:szCs w:val="28"/>
        </w:rPr>
        <w:t>валифицированный инвестор;</w:t>
      </w:r>
    </w:p>
    <w:p w14:paraId="79780CDD" w14:textId="640214E5" w:rsidR="00AA2C5D" w:rsidRDefault="00B57FC1" w:rsidP="00A57A1C">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н</w:t>
      </w:r>
      <w:r w:rsidR="00AA2C5D" w:rsidRPr="00A863E7">
        <w:rPr>
          <w:rFonts w:ascii="Times New Roman" w:hAnsi="Times New Roman"/>
          <w:sz w:val="28"/>
          <w:szCs w:val="28"/>
        </w:rPr>
        <w:t>еквалифицированный инвестор.</w:t>
      </w:r>
    </w:p>
    <w:p w14:paraId="3EE876D3" w14:textId="0AFC050F" w:rsidR="00886B98" w:rsidRPr="00886B98" w:rsidRDefault="00846814" w:rsidP="00C553F5">
      <w:pPr>
        <w:pStyle w:val="a3"/>
        <w:numPr>
          <w:ilvl w:val="2"/>
          <w:numId w:val="4"/>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B57FC1">
        <w:rPr>
          <w:rFonts w:ascii="Times New Roman" w:hAnsi="Times New Roman"/>
          <w:sz w:val="28"/>
          <w:szCs w:val="28"/>
        </w:rPr>
        <w:t>В</w:t>
      </w:r>
      <w:r w:rsidR="00886B98">
        <w:rPr>
          <w:rFonts w:ascii="Times New Roman" w:hAnsi="Times New Roman"/>
          <w:sz w:val="28"/>
          <w:szCs w:val="28"/>
        </w:rPr>
        <w:t xml:space="preserve"> графе </w:t>
      </w:r>
      <w:r w:rsidR="00886B98">
        <w:rPr>
          <w:rFonts w:ascii="Times New Roman" w:eastAsia="Calibri" w:hAnsi="Times New Roman"/>
          <w:color w:val="000000" w:themeColor="text1"/>
          <w:sz w:val="28"/>
          <w:szCs w:val="28"/>
        </w:rPr>
        <w:t>«</w:t>
      </w:r>
      <w:r w:rsidR="00886B98" w:rsidRPr="00AA2C5D">
        <w:rPr>
          <w:rFonts w:ascii="Times New Roman" w:eastAsia="Calibri" w:hAnsi="Times New Roman"/>
          <w:color w:val="000000" w:themeColor="text1"/>
          <w:sz w:val="28"/>
          <w:szCs w:val="28"/>
        </w:rPr>
        <w:t>Состояние НПР портфеля клиента</w:t>
      </w:r>
      <w:r w:rsidR="00886B98">
        <w:rPr>
          <w:rFonts w:ascii="Times New Roman" w:eastAsia="Calibri" w:hAnsi="Times New Roman"/>
          <w:color w:val="000000" w:themeColor="text1"/>
          <w:sz w:val="28"/>
          <w:szCs w:val="28"/>
        </w:rPr>
        <w:t xml:space="preserve">» </w:t>
      </w:r>
      <w:r w:rsidR="00886B98" w:rsidRPr="007B438D">
        <w:rPr>
          <w:rFonts w:ascii="Times New Roman" w:eastAsia="Calibri" w:hAnsi="Times New Roman"/>
          <w:color w:val="000000" w:themeColor="text1"/>
          <w:sz w:val="28"/>
          <w:szCs w:val="28"/>
        </w:rPr>
        <w:t>раздела 1 указывается в зависимости от показателей НПР1 и НПР2 состояние портфеля клиента, в отношении которого приводятся показатели</w:t>
      </w:r>
      <w:r w:rsidR="00C553F5">
        <w:rPr>
          <w:rFonts w:ascii="Times New Roman" w:eastAsia="Calibri" w:hAnsi="Times New Roman"/>
          <w:color w:val="000000" w:themeColor="text1"/>
          <w:sz w:val="28"/>
          <w:szCs w:val="28"/>
        </w:rPr>
        <w:t xml:space="preserve">. </w:t>
      </w:r>
      <w:r w:rsidR="00C553F5" w:rsidRPr="00916B26">
        <w:rPr>
          <w:rFonts w:ascii="Times New Roman" w:hAnsi="Times New Roman"/>
          <w:sz w:val="28"/>
          <w:szCs w:val="28"/>
          <w:lang w:eastAsia="ru-RU"/>
        </w:rPr>
        <w:t xml:space="preserve">Информация раскрывается в </w:t>
      </w:r>
      <w:r w:rsidR="00C553F5">
        <w:rPr>
          <w:rFonts w:ascii="Times New Roman" w:hAnsi="Times New Roman"/>
          <w:sz w:val="28"/>
          <w:szCs w:val="28"/>
          <w:lang w:eastAsia="ru-RU"/>
        </w:rPr>
        <w:t>следующих разрезах:</w:t>
      </w:r>
    </w:p>
    <w:p w14:paraId="5FF8D25B" w14:textId="64E89006" w:rsidR="00AA2C5D" w:rsidRDefault="00B57FC1" w:rsidP="00C553F5">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lang w:eastAsia="ru-RU"/>
        </w:rPr>
      </w:pPr>
      <w:r>
        <w:rPr>
          <w:rFonts w:ascii="Times New Roman" w:hAnsi="Times New Roman"/>
          <w:sz w:val="28"/>
          <w:szCs w:val="28"/>
        </w:rPr>
        <w:t>п</w:t>
      </w:r>
      <w:r w:rsidR="00AA2C5D" w:rsidRPr="00AA2C5D">
        <w:rPr>
          <w:rFonts w:ascii="Times New Roman" w:hAnsi="Times New Roman"/>
          <w:sz w:val="28"/>
          <w:szCs w:val="28"/>
        </w:rPr>
        <w:t>ортфел</w:t>
      </w:r>
      <w:r w:rsidR="00AA2C5D">
        <w:rPr>
          <w:rFonts w:ascii="Times New Roman" w:hAnsi="Times New Roman"/>
          <w:sz w:val="28"/>
          <w:szCs w:val="28"/>
        </w:rPr>
        <w:t>и</w:t>
      </w:r>
      <w:r w:rsidR="00AA2C5D" w:rsidRPr="00AA2C5D">
        <w:rPr>
          <w:rFonts w:ascii="Times New Roman" w:hAnsi="Times New Roman"/>
          <w:sz w:val="28"/>
          <w:szCs w:val="28"/>
        </w:rPr>
        <w:t xml:space="preserve"> с НПР1 ≥ 0</w:t>
      </w:r>
      <w:r w:rsidR="00AA2C5D">
        <w:rPr>
          <w:rFonts w:ascii="Times New Roman" w:hAnsi="Times New Roman"/>
          <w:sz w:val="28"/>
          <w:szCs w:val="28"/>
        </w:rPr>
        <w:t xml:space="preserve"> - </w:t>
      </w:r>
      <w:r w:rsidR="00AA2C5D" w:rsidRPr="00AA2C5D">
        <w:rPr>
          <w:rFonts w:ascii="Times New Roman" w:hAnsi="Times New Roman"/>
          <w:sz w:val="28"/>
          <w:szCs w:val="28"/>
          <w:lang w:eastAsia="ru-RU"/>
        </w:rPr>
        <w:t xml:space="preserve">указывается в отношении портфелей клиентов, значение </w:t>
      </w:r>
      <w:r w:rsidR="00AA2C5D">
        <w:rPr>
          <w:rFonts w:ascii="Times New Roman" w:hAnsi="Times New Roman"/>
          <w:sz w:val="28"/>
          <w:szCs w:val="28"/>
          <w:lang w:eastAsia="ru-RU"/>
        </w:rPr>
        <w:t>НПР</w:t>
      </w:r>
      <w:r w:rsidR="00AA2C5D" w:rsidRPr="00AA2C5D">
        <w:rPr>
          <w:rFonts w:ascii="Times New Roman" w:hAnsi="Times New Roman"/>
          <w:sz w:val="28"/>
          <w:szCs w:val="28"/>
          <w:lang w:eastAsia="ru-RU"/>
        </w:rPr>
        <w:t>1 по которым равно или более нуля;</w:t>
      </w:r>
    </w:p>
    <w:p w14:paraId="77AEE682" w14:textId="78005132" w:rsidR="00AA2C5D" w:rsidRDefault="00B57FC1" w:rsidP="00A863E7">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п</w:t>
      </w:r>
      <w:r w:rsidR="00AA2C5D" w:rsidRPr="00AA2C5D">
        <w:rPr>
          <w:rFonts w:ascii="Times New Roman" w:hAnsi="Times New Roman"/>
          <w:sz w:val="28"/>
          <w:szCs w:val="28"/>
        </w:rPr>
        <w:t>ортфел</w:t>
      </w:r>
      <w:r w:rsidR="00AA2C5D">
        <w:rPr>
          <w:rFonts w:ascii="Times New Roman" w:hAnsi="Times New Roman"/>
          <w:sz w:val="28"/>
          <w:szCs w:val="28"/>
        </w:rPr>
        <w:t>и</w:t>
      </w:r>
      <w:r w:rsidR="00AA2C5D" w:rsidRPr="00AA2C5D">
        <w:rPr>
          <w:rFonts w:ascii="Times New Roman" w:hAnsi="Times New Roman"/>
          <w:sz w:val="28"/>
          <w:szCs w:val="28"/>
        </w:rPr>
        <w:t xml:space="preserve"> с</w:t>
      </w:r>
      <w:r w:rsidR="00A863E7">
        <w:rPr>
          <w:rFonts w:ascii="Times New Roman" w:hAnsi="Times New Roman"/>
          <w:sz w:val="28"/>
          <w:szCs w:val="28"/>
        </w:rPr>
        <w:t xml:space="preserve"> НПР1 </w:t>
      </w:r>
      <w:proofErr w:type="gramStart"/>
      <w:r w:rsidR="00A863E7">
        <w:rPr>
          <w:rFonts w:ascii="Times New Roman" w:hAnsi="Times New Roman"/>
          <w:sz w:val="28"/>
          <w:szCs w:val="28"/>
        </w:rPr>
        <w:t xml:space="preserve">&lt; </w:t>
      </w:r>
      <w:r w:rsidR="00AA2C5D" w:rsidRPr="00AA2C5D">
        <w:rPr>
          <w:rFonts w:ascii="Times New Roman" w:hAnsi="Times New Roman"/>
          <w:sz w:val="28"/>
          <w:szCs w:val="28"/>
        </w:rPr>
        <w:t>0</w:t>
      </w:r>
      <w:proofErr w:type="gramEnd"/>
      <w:r w:rsidR="00AA2C5D" w:rsidRPr="00AA2C5D">
        <w:rPr>
          <w:rFonts w:ascii="Times New Roman" w:hAnsi="Times New Roman"/>
          <w:sz w:val="28"/>
          <w:szCs w:val="28"/>
        </w:rPr>
        <w:t xml:space="preserve"> и НПР2 ≥ 0</w:t>
      </w:r>
      <w:r w:rsidR="00AA2C5D">
        <w:rPr>
          <w:rFonts w:ascii="Times New Roman" w:hAnsi="Times New Roman"/>
          <w:sz w:val="28"/>
          <w:szCs w:val="28"/>
        </w:rPr>
        <w:t xml:space="preserve"> - </w:t>
      </w:r>
      <w:r w:rsidR="00AA2C5D" w:rsidRPr="00AA2C5D">
        <w:rPr>
          <w:rFonts w:ascii="Times New Roman" w:hAnsi="Times New Roman"/>
          <w:sz w:val="28"/>
          <w:szCs w:val="28"/>
        </w:rPr>
        <w:t>указывается в отношении портфелей клиентов, значение НПР1 по которым менее нуля и при этом значение НПР2 по которым равно или более нуля</w:t>
      </w:r>
      <w:r w:rsidR="00A863E7">
        <w:rPr>
          <w:rFonts w:ascii="Times New Roman" w:hAnsi="Times New Roman"/>
          <w:sz w:val="28"/>
          <w:szCs w:val="28"/>
        </w:rPr>
        <w:t>;</w:t>
      </w:r>
    </w:p>
    <w:p w14:paraId="4B92C1E8" w14:textId="3724F6C9" w:rsidR="00A863E7" w:rsidRDefault="00B57FC1" w:rsidP="00A863E7">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lastRenderedPageBreak/>
        <w:t>п</w:t>
      </w:r>
      <w:r w:rsidR="00A863E7" w:rsidRPr="00A863E7">
        <w:rPr>
          <w:rFonts w:ascii="Times New Roman" w:hAnsi="Times New Roman"/>
          <w:sz w:val="28"/>
          <w:szCs w:val="28"/>
        </w:rPr>
        <w:t>ортфел</w:t>
      </w:r>
      <w:r w:rsidR="00A863E7">
        <w:rPr>
          <w:rFonts w:ascii="Times New Roman" w:hAnsi="Times New Roman"/>
          <w:sz w:val="28"/>
          <w:szCs w:val="28"/>
        </w:rPr>
        <w:t>и</w:t>
      </w:r>
      <w:r w:rsidR="00A863E7" w:rsidRPr="00A863E7">
        <w:rPr>
          <w:rFonts w:ascii="Times New Roman" w:hAnsi="Times New Roman"/>
          <w:sz w:val="28"/>
          <w:szCs w:val="28"/>
        </w:rPr>
        <w:t xml:space="preserve"> с НПР2 </w:t>
      </w:r>
      <w:proofErr w:type="gramStart"/>
      <w:r w:rsidR="00A863E7" w:rsidRPr="00A863E7">
        <w:rPr>
          <w:rFonts w:ascii="Times New Roman" w:hAnsi="Times New Roman"/>
          <w:sz w:val="28"/>
          <w:szCs w:val="28"/>
        </w:rPr>
        <w:t>&lt; 0</w:t>
      </w:r>
      <w:proofErr w:type="gramEnd"/>
      <w:r w:rsidR="00A863E7" w:rsidRPr="00A863E7">
        <w:rPr>
          <w:rFonts w:ascii="Times New Roman" w:hAnsi="Times New Roman"/>
          <w:sz w:val="28"/>
          <w:szCs w:val="28"/>
        </w:rPr>
        <w:t>, при этом маржа по портфелю равна 0</w:t>
      </w:r>
      <w:r w:rsidR="00A863E7">
        <w:rPr>
          <w:rFonts w:ascii="Times New Roman" w:hAnsi="Times New Roman"/>
          <w:sz w:val="28"/>
          <w:szCs w:val="28"/>
        </w:rPr>
        <w:t xml:space="preserve"> - </w:t>
      </w:r>
      <w:r w:rsidR="00A863E7" w:rsidRPr="00A863E7">
        <w:rPr>
          <w:rFonts w:ascii="Times New Roman" w:hAnsi="Times New Roman"/>
          <w:sz w:val="28"/>
          <w:szCs w:val="28"/>
        </w:rPr>
        <w:t>указывается в отношении портфелей клиентов, значение НПР2 по которым менее нуля и при этом сумма начальной маржи в отношении которых не рассчитывается либо равна нулю</w:t>
      </w:r>
      <w:r w:rsidR="00A863E7">
        <w:rPr>
          <w:rFonts w:ascii="Times New Roman" w:hAnsi="Times New Roman"/>
          <w:sz w:val="28"/>
          <w:szCs w:val="28"/>
        </w:rPr>
        <w:t>;</w:t>
      </w:r>
    </w:p>
    <w:p w14:paraId="19B3E5D8" w14:textId="2973D0AD" w:rsidR="00A863E7" w:rsidRDefault="00B57FC1" w:rsidP="00A863E7">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п</w:t>
      </w:r>
      <w:r w:rsidR="00A863E7" w:rsidRPr="00A863E7">
        <w:rPr>
          <w:rFonts w:ascii="Times New Roman" w:hAnsi="Times New Roman"/>
          <w:sz w:val="28"/>
          <w:szCs w:val="28"/>
        </w:rPr>
        <w:t>ортфел</w:t>
      </w:r>
      <w:r w:rsidR="00A863E7">
        <w:rPr>
          <w:rFonts w:ascii="Times New Roman" w:hAnsi="Times New Roman"/>
          <w:sz w:val="28"/>
          <w:szCs w:val="28"/>
        </w:rPr>
        <w:t>и</w:t>
      </w:r>
      <w:r w:rsidR="00A863E7" w:rsidRPr="00A863E7">
        <w:rPr>
          <w:rFonts w:ascii="Times New Roman" w:hAnsi="Times New Roman"/>
          <w:sz w:val="28"/>
          <w:szCs w:val="28"/>
        </w:rPr>
        <w:t xml:space="preserve"> с НПР2 </w:t>
      </w:r>
      <w:proofErr w:type="gramStart"/>
      <w:r w:rsidR="00A863E7" w:rsidRPr="00A863E7">
        <w:rPr>
          <w:rFonts w:ascii="Times New Roman" w:hAnsi="Times New Roman"/>
          <w:sz w:val="28"/>
          <w:szCs w:val="28"/>
        </w:rPr>
        <w:t>&lt; 0</w:t>
      </w:r>
      <w:proofErr w:type="gramEnd"/>
      <w:r w:rsidR="00A863E7" w:rsidRPr="00A863E7">
        <w:rPr>
          <w:rFonts w:ascii="Times New Roman" w:hAnsi="Times New Roman"/>
          <w:sz w:val="28"/>
          <w:szCs w:val="28"/>
        </w:rPr>
        <w:t>, при этом маржа по портфелю не равна 0</w:t>
      </w:r>
      <w:r w:rsidR="00A863E7">
        <w:rPr>
          <w:rFonts w:ascii="Times New Roman" w:hAnsi="Times New Roman"/>
          <w:sz w:val="28"/>
          <w:szCs w:val="28"/>
        </w:rPr>
        <w:t xml:space="preserve"> - </w:t>
      </w:r>
      <w:r w:rsidR="00A863E7" w:rsidRPr="00A863E7">
        <w:rPr>
          <w:rFonts w:ascii="Times New Roman" w:hAnsi="Times New Roman"/>
          <w:sz w:val="28"/>
          <w:szCs w:val="28"/>
        </w:rPr>
        <w:t>указывается в отношении портфелей клиентов, значение НПР2 по которым менее нуля и при этом сумма начальной маржи в отношении которых рассчитана в размере более нуля</w:t>
      </w:r>
      <w:r w:rsidR="00A863E7">
        <w:rPr>
          <w:rFonts w:ascii="Times New Roman" w:hAnsi="Times New Roman"/>
          <w:sz w:val="28"/>
          <w:szCs w:val="28"/>
        </w:rPr>
        <w:t>.</w:t>
      </w:r>
    </w:p>
    <w:p w14:paraId="5B19454D" w14:textId="52DBB324" w:rsidR="00C553F5" w:rsidRPr="00C553F5" w:rsidRDefault="00846814" w:rsidP="0018354A">
      <w:pPr>
        <w:pStyle w:val="a3"/>
        <w:numPr>
          <w:ilvl w:val="2"/>
          <w:numId w:val="4"/>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B57FC1">
        <w:rPr>
          <w:rFonts w:ascii="Times New Roman" w:hAnsi="Times New Roman"/>
          <w:sz w:val="28"/>
          <w:szCs w:val="28"/>
        </w:rPr>
        <w:t>В</w:t>
      </w:r>
      <w:r w:rsidR="00C553F5">
        <w:rPr>
          <w:rFonts w:ascii="Times New Roman" w:hAnsi="Times New Roman"/>
          <w:sz w:val="28"/>
          <w:szCs w:val="28"/>
        </w:rPr>
        <w:t xml:space="preserve"> </w:t>
      </w:r>
      <w:r w:rsidR="00C553F5" w:rsidRPr="007B438D">
        <w:rPr>
          <w:rFonts w:ascii="Times New Roman" w:eastAsia="Calibri" w:hAnsi="Times New Roman"/>
          <w:color w:val="000000" w:themeColor="text1"/>
          <w:sz w:val="28"/>
          <w:szCs w:val="28"/>
        </w:rPr>
        <w:t>графе</w:t>
      </w:r>
      <w:r w:rsidR="00C553F5">
        <w:rPr>
          <w:rFonts w:ascii="Times New Roman" w:eastAsia="Calibri" w:hAnsi="Times New Roman"/>
          <w:color w:val="000000" w:themeColor="text1"/>
          <w:sz w:val="28"/>
          <w:szCs w:val="28"/>
        </w:rPr>
        <w:t xml:space="preserve"> «</w:t>
      </w:r>
      <w:r w:rsidR="00C553F5" w:rsidRPr="00A863E7">
        <w:rPr>
          <w:rFonts w:ascii="Times New Roman" w:eastAsia="Calibri" w:hAnsi="Times New Roman"/>
          <w:color w:val="000000" w:themeColor="text1"/>
          <w:sz w:val="28"/>
          <w:szCs w:val="28"/>
        </w:rPr>
        <w:t>Учет зависимых множеств</w:t>
      </w:r>
      <w:r w:rsidR="00C553F5">
        <w:rPr>
          <w:rFonts w:ascii="Times New Roman" w:eastAsia="Calibri" w:hAnsi="Times New Roman"/>
          <w:color w:val="000000" w:themeColor="text1"/>
          <w:sz w:val="28"/>
          <w:szCs w:val="28"/>
        </w:rPr>
        <w:t xml:space="preserve">» </w:t>
      </w:r>
      <w:r w:rsidR="00C553F5" w:rsidRPr="007B438D">
        <w:rPr>
          <w:rFonts w:ascii="Times New Roman" w:eastAsia="Calibri" w:hAnsi="Times New Roman"/>
          <w:color w:val="000000" w:themeColor="text1"/>
          <w:sz w:val="28"/>
          <w:szCs w:val="28"/>
        </w:rPr>
        <w:t>раздела 1</w:t>
      </w:r>
      <w:r w:rsidR="00C553F5">
        <w:rPr>
          <w:rFonts w:ascii="Times New Roman" w:eastAsia="Calibri" w:hAnsi="Times New Roman"/>
          <w:color w:val="000000" w:themeColor="text1"/>
          <w:sz w:val="28"/>
          <w:szCs w:val="28"/>
        </w:rPr>
        <w:t xml:space="preserve"> </w:t>
      </w:r>
      <w:r w:rsidR="00C553F5" w:rsidRPr="007B438D">
        <w:rPr>
          <w:rFonts w:ascii="Times New Roman" w:eastAsia="Calibri" w:hAnsi="Times New Roman"/>
          <w:color w:val="000000" w:themeColor="text1"/>
          <w:sz w:val="28"/>
          <w:szCs w:val="28"/>
        </w:rPr>
        <w:t>указывается, учтена ли зависимость между изменениями цен активов клиента</w:t>
      </w:r>
      <w:r w:rsidR="00C553F5" w:rsidRPr="007B438D">
        <w:rPr>
          <w:rFonts w:ascii="Times New Roman" w:eastAsia="Calibri" w:hAnsi="Times New Roman"/>
          <w:color w:val="000000" w:themeColor="text1"/>
          <w:szCs w:val="24"/>
        </w:rPr>
        <w:t xml:space="preserve"> </w:t>
      </w:r>
      <w:r w:rsidR="00C553F5" w:rsidRPr="007B438D">
        <w:rPr>
          <w:rFonts w:ascii="Times New Roman" w:eastAsia="Calibri" w:hAnsi="Times New Roman"/>
          <w:color w:val="000000" w:themeColor="text1"/>
          <w:sz w:val="28"/>
          <w:szCs w:val="28"/>
        </w:rPr>
        <w:t>при расчете начальной маржи</w:t>
      </w:r>
      <w:r w:rsidR="00C553F5">
        <w:rPr>
          <w:rFonts w:ascii="Times New Roman" w:eastAsia="Calibri" w:hAnsi="Times New Roman"/>
          <w:color w:val="000000" w:themeColor="text1"/>
          <w:sz w:val="28"/>
          <w:szCs w:val="28"/>
        </w:rPr>
        <w:t xml:space="preserve">. </w:t>
      </w:r>
      <w:r w:rsidR="00C553F5" w:rsidRPr="00916B26">
        <w:rPr>
          <w:rFonts w:ascii="Times New Roman" w:hAnsi="Times New Roman"/>
          <w:sz w:val="28"/>
          <w:szCs w:val="28"/>
          <w:lang w:eastAsia="ru-RU"/>
        </w:rPr>
        <w:t xml:space="preserve">Информация раскрывается в </w:t>
      </w:r>
      <w:r w:rsidR="00C553F5">
        <w:rPr>
          <w:rFonts w:ascii="Times New Roman" w:hAnsi="Times New Roman"/>
          <w:sz w:val="28"/>
          <w:szCs w:val="28"/>
          <w:lang w:eastAsia="ru-RU"/>
        </w:rPr>
        <w:t>следующих разрезах:</w:t>
      </w:r>
    </w:p>
    <w:p w14:paraId="2413D6AA" w14:textId="206BB113" w:rsidR="00A863E7" w:rsidRDefault="00B57FC1" w:rsidP="0018354A">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б</w:t>
      </w:r>
      <w:r w:rsidR="00A863E7" w:rsidRPr="00A863E7">
        <w:rPr>
          <w:rFonts w:ascii="Times New Roman" w:hAnsi="Times New Roman"/>
          <w:sz w:val="28"/>
          <w:szCs w:val="28"/>
        </w:rPr>
        <w:t>ез учета зависимых множеств</w:t>
      </w:r>
      <w:r w:rsidR="00A863E7">
        <w:rPr>
          <w:rFonts w:ascii="Times New Roman" w:hAnsi="Times New Roman"/>
          <w:sz w:val="28"/>
          <w:szCs w:val="28"/>
        </w:rPr>
        <w:t xml:space="preserve"> - у</w:t>
      </w:r>
      <w:r w:rsidR="00A863E7" w:rsidRPr="00A863E7">
        <w:rPr>
          <w:rFonts w:ascii="Times New Roman" w:hAnsi="Times New Roman"/>
          <w:sz w:val="28"/>
          <w:szCs w:val="28"/>
        </w:rPr>
        <w:t>казывается в отношении портфелей клиентов, начальная маржа по которым была рассчитана без учета зависимости между изменениями цен активов клиента в соответствии с пунктом 23 приложения к Указанию Банка России № 6681-У</w:t>
      </w:r>
      <w:r w:rsidR="00A863E7">
        <w:rPr>
          <w:rFonts w:ascii="Times New Roman" w:hAnsi="Times New Roman"/>
          <w:sz w:val="28"/>
          <w:szCs w:val="28"/>
        </w:rPr>
        <w:t>;</w:t>
      </w:r>
    </w:p>
    <w:p w14:paraId="6592D407" w14:textId="722EF362" w:rsidR="00A863E7" w:rsidRDefault="00B57FC1" w:rsidP="00A863E7">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с</w:t>
      </w:r>
      <w:r w:rsidR="00A863E7" w:rsidRPr="00A863E7">
        <w:rPr>
          <w:rFonts w:ascii="Times New Roman" w:hAnsi="Times New Roman"/>
          <w:sz w:val="28"/>
          <w:szCs w:val="28"/>
        </w:rPr>
        <w:t xml:space="preserve"> учетом зависимых множеств</w:t>
      </w:r>
      <w:r w:rsidR="00A863E7">
        <w:rPr>
          <w:rFonts w:ascii="Times New Roman" w:hAnsi="Times New Roman"/>
          <w:sz w:val="28"/>
          <w:szCs w:val="28"/>
        </w:rPr>
        <w:t xml:space="preserve"> - у</w:t>
      </w:r>
      <w:r w:rsidR="00A863E7" w:rsidRPr="00A863E7">
        <w:rPr>
          <w:rFonts w:ascii="Times New Roman" w:hAnsi="Times New Roman"/>
          <w:sz w:val="28"/>
          <w:szCs w:val="28"/>
        </w:rPr>
        <w:t>казывается в отношении портфелей клиентов, начальная маржа по которым была рассчитана с учетом зависимости между изменениями цен активов клиента в соответствии с пунктом 23 приложения к Указанию Банка России № 6681-У</w:t>
      </w:r>
      <w:r w:rsidR="00A863E7">
        <w:rPr>
          <w:rFonts w:ascii="Times New Roman" w:hAnsi="Times New Roman"/>
          <w:sz w:val="28"/>
          <w:szCs w:val="28"/>
        </w:rPr>
        <w:t>.</w:t>
      </w:r>
    </w:p>
    <w:p w14:paraId="0E3BDF94" w14:textId="7B2CCC82" w:rsidR="0018354A" w:rsidRPr="0018354A" w:rsidRDefault="00846814" w:rsidP="001730CB">
      <w:pPr>
        <w:pStyle w:val="a3"/>
        <w:numPr>
          <w:ilvl w:val="2"/>
          <w:numId w:val="4"/>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B57FC1">
        <w:rPr>
          <w:rFonts w:ascii="Times New Roman" w:hAnsi="Times New Roman"/>
          <w:sz w:val="28"/>
          <w:szCs w:val="28"/>
        </w:rPr>
        <w:t>В</w:t>
      </w:r>
      <w:r w:rsidR="0018354A">
        <w:rPr>
          <w:rFonts w:ascii="Times New Roman" w:hAnsi="Times New Roman"/>
          <w:sz w:val="28"/>
          <w:szCs w:val="28"/>
        </w:rPr>
        <w:t xml:space="preserve"> </w:t>
      </w:r>
      <w:r w:rsidR="0018354A" w:rsidRPr="00A863E7">
        <w:rPr>
          <w:rFonts w:ascii="Times New Roman" w:hAnsi="Times New Roman"/>
          <w:sz w:val="28"/>
          <w:szCs w:val="28"/>
        </w:rPr>
        <w:t>графе</w:t>
      </w:r>
      <w:r w:rsidR="0018354A">
        <w:rPr>
          <w:rFonts w:ascii="Times New Roman" w:hAnsi="Times New Roman"/>
          <w:sz w:val="28"/>
          <w:szCs w:val="28"/>
        </w:rPr>
        <w:t xml:space="preserve"> «</w:t>
      </w:r>
      <w:r w:rsidR="0018354A" w:rsidRPr="00A863E7">
        <w:rPr>
          <w:rFonts w:ascii="Times New Roman" w:hAnsi="Times New Roman"/>
          <w:sz w:val="28"/>
          <w:szCs w:val="28"/>
        </w:rPr>
        <w:t>Группа клиентов по объему портфеля</w:t>
      </w:r>
      <w:r w:rsidR="0018354A">
        <w:rPr>
          <w:rFonts w:ascii="Times New Roman" w:hAnsi="Times New Roman"/>
          <w:sz w:val="28"/>
          <w:szCs w:val="28"/>
        </w:rPr>
        <w:t xml:space="preserve">» </w:t>
      </w:r>
      <w:r w:rsidR="0018354A" w:rsidRPr="00A863E7">
        <w:rPr>
          <w:rFonts w:ascii="Times New Roman" w:hAnsi="Times New Roman"/>
          <w:sz w:val="28"/>
          <w:szCs w:val="28"/>
        </w:rPr>
        <w:t>раздела 1 указывается значение, соответствующее стоимости портфеля клиента</w:t>
      </w:r>
      <w:r w:rsidR="0018354A">
        <w:rPr>
          <w:rFonts w:ascii="Times New Roman" w:hAnsi="Times New Roman"/>
          <w:sz w:val="28"/>
          <w:szCs w:val="28"/>
        </w:rPr>
        <w:t xml:space="preserve">, </w:t>
      </w:r>
      <w:r w:rsidR="0018354A" w:rsidRPr="00A863E7">
        <w:rPr>
          <w:rFonts w:ascii="Times New Roman" w:hAnsi="Times New Roman"/>
          <w:sz w:val="28"/>
          <w:szCs w:val="28"/>
        </w:rPr>
        <w:t>указанной в графе </w:t>
      </w:r>
      <w:r w:rsidR="001730CB">
        <w:rPr>
          <w:rFonts w:ascii="Times New Roman" w:hAnsi="Times New Roman"/>
          <w:sz w:val="28"/>
          <w:szCs w:val="28"/>
        </w:rPr>
        <w:t>«</w:t>
      </w:r>
      <w:r w:rsidR="001730CB" w:rsidRPr="001730CB">
        <w:rPr>
          <w:rFonts w:ascii="Times New Roman" w:hAnsi="Times New Roman"/>
          <w:sz w:val="28"/>
          <w:szCs w:val="28"/>
        </w:rPr>
        <w:t>Стоимость портфеля, всего</w:t>
      </w:r>
      <w:r w:rsidR="001730CB">
        <w:rPr>
          <w:rFonts w:ascii="Times New Roman" w:hAnsi="Times New Roman"/>
          <w:sz w:val="28"/>
          <w:szCs w:val="28"/>
        </w:rPr>
        <w:t>»</w:t>
      </w:r>
      <w:r w:rsidR="0018354A" w:rsidRPr="00A863E7">
        <w:rPr>
          <w:rFonts w:ascii="Times New Roman" w:hAnsi="Times New Roman"/>
          <w:sz w:val="28"/>
          <w:szCs w:val="28"/>
        </w:rPr>
        <w:t xml:space="preserve"> раздела 1</w:t>
      </w:r>
      <w:r w:rsidR="0018354A">
        <w:rPr>
          <w:rFonts w:ascii="Times New Roman" w:hAnsi="Times New Roman"/>
          <w:sz w:val="28"/>
          <w:szCs w:val="28"/>
        </w:rPr>
        <w:t xml:space="preserve">. </w:t>
      </w:r>
      <w:r w:rsidR="0018354A" w:rsidRPr="00916B26">
        <w:rPr>
          <w:rFonts w:ascii="Times New Roman" w:hAnsi="Times New Roman"/>
          <w:sz w:val="28"/>
          <w:szCs w:val="28"/>
          <w:lang w:eastAsia="ru-RU"/>
        </w:rPr>
        <w:t xml:space="preserve">Информация раскрывается в </w:t>
      </w:r>
      <w:r w:rsidR="0018354A">
        <w:rPr>
          <w:rFonts w:ascii="Times New Roman" w:hAnsi="Times New Roman"/>
          <w:sz w:val="28"/>
          <w:szCs w:val="28"/>
          <w:lang w:eastAsia="ru-RU"/>
        </w:rPr>
        <w:t>следующих разрезах:</w:t>
      </w:r>
    </w:p>
    <w:p w14:paraId="698D92F8" w14:textId="46E6B4C9" w:rsidR="00223077" w:rsidRDefault="00B57FC1" w:rsidP="0018354A">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м</w:t>
      </w:r>
      <w:r w:rsidR="00223077" w:rsidRPr="00223077">
        <w:rPr>
          <w:rFonts w:ascii="Times New Roman" w:hAnsi="Times New Roman"/>
          <w:sz w:val="28"/>
          <w:szCs w:val="28"/>
        </w:rPr>
        <w:t>енее −10 миллионов рублей</w:t>
      </w:r>
      <w:r w:rsidR="00223077">
        <w:rPr>
          <w:rFonts w:ascii="Times New Roman" w:hAnsi="Times New Roman"/>
          <w:sz w:val="28"/>
          <w:szCs w:val="28"/>
        </w:rPr>
        <w:t>;</w:t>
      </w:r>
    </w:p>
    <w:p w14:paraId="6D009B0C" w14:textId="4B3967E5" w:rsidR="00223077" w:rsidRDefault="00B57FC1" w:rsidP="00223077">
      <w:pPr>
        <w:tabs>
          <w:tab w:val="left" w:pos="851"/>
          <w:tab w:val="left" w:pos="993"/>
        </w:tabs>
        <w:autoSpaceDE w:val="0"/>
        <w:autoSpaceDN w:val="0"/>
        <w:adjustRightInd w:val="0"/>
        <w:spacing w:after="0" w:line="360" w:lineRule="auto"/>
        <w:ind w:left="709"/>
        <w:jc w:val="both"/>
        <w:outlineLvl w:val="0"/>
        <w:rPr>
          <w:rFonts w:ascii="Times New Roman" w:hAnsi="Times New Roman"/>
          <w:sz w:val="28"/>
          <w:szCs w:val="28"/>
        </w:rPr>
      </w:pPr>
      <w:r>
        <w:rPr>
          <w:rFonts w:ascii="Times New Roman" w:hAnsi="Times New Roman"/>
          <w:sz w:val="28"/>
          <w:szCs w:val="28"/>
        </w:rPr>
        <w:t>о</w:t>
      </w:r>
      <w:r w:rsidR="00223077" w:rsidRPr="00223077">
        <w:rPr>
          <w:rFonts w:ascii="Times New Roman" w:hAnsi="Times New Roman"/>
          <w:sz w:val="28"/>
          <w:szCs w:val="28"/>
        </w:rPr>
        <w:t>т −10 миллионов рублей до −1 миллиона рублей включительно</w:t>
      </w:r>
      <w:r w:rsidR="00223077">
        <w:rPr>
          <w:rFonts w:ascii="Times New Roman" w:hAnsi="Times New Roman"/>
          <w:sz w:val="28"/>
          <w:szCs w:val="28"/>
        </w:rPr>
        <w:t>;</w:t>
      </w:r>
    </w:p>
    <w:p w14:paraId="3AE7D1E9" w14:textId="5878FAC4" w:rsidR="00223077" w:rsidRDefault="00B57FC1" w:rsidP="00223077">
      <w:pPr>
        <w:tabs>
          <w:tab w:val="left" w:pos="851"/>
          <w:tab w:val="left" w:pos="993"/>
        </w:tabs>
        <w:autoSpaceDE w:val="0"/>
        <w:autoSpaceDN w:val="0"/>
        <w:adjustRightInd w:val="0"/>
        <w:spacing w:after="0" w:line="360" w:lineRule="auto"/>
        <w:ind w:left="709"/>
        <w:jc w:val="both"/>
        <w:outlineLvl w:val="0"/>
        <w:rPr>
          <w:rFonts w:ascii="Times New Roman" w:hAnsi="Times New Roman"/>
          <w:sz w:val="28"/>
          <w:szCs w:val="28"/>
        </w:rPr>
      </w:pPr>
      <w:r>
        <w:rPr>
          <w:rFonts w:ascii="Times New Roman" w:hAnsi="Times New Roman"/>
          <w:sz w:val="28"/>
          <w:szCs w:val="28"/>
        </w:rPr>
        <w:t>о</w:t>
      </w:r>
      <w:r w:rsidR="00223077" w:rsidRPr="00223077">
        <w:rPr>
          <w:rFonts w:ascii="Times New Roman" w:hAnsi="Times New Roman"/>
          <w:sz w:val="28"/>
          <w:szCs w:val="28"/>
        </w:rPr>
        <w:t>т −1 миллиона рублей до −100 тысяч рублей включительно</w:t>
      </w:r>
      <w:r w:rsidR="00223077">
        <w:rPr>
          <w:rFonts w:ascii="Times New Roman" w:hAnsi="Times New Roman"/>
          <w:sz w:val="28"/>
          <w:szCs w:val="28"/>
        </w:rPr>
        <w:t>;</w:t>
      </w:r>
    </w:p>
    <w:p w14:paraId="318B1D76" w14:textId="50E59A7F" w:rsidR="00223077" w:rsidRDefault="00B57FC1" w:rsidP="00223077">
      <w:pPr>
        <w:tabs>
          <w:tab w:val="left" w:pos="851"/>
          <w:tab w:val="left" w:pos="993"/>
        </w:tabs>
        <w:autoSpaceDE w:val="0"/>
        <w:autoSpaceDN w:val="0"/>
        <w:adjustRightInd w:val="0"/>
        <w:spacing w:after="0" w:line="360" w:lineRule="auto"/>
        <w:ind w:left="709"/>
        <w:jc w:val="both"/>
        <w:outlineLvl w:val="0"/>
        <w:rPr>
          <w:rFonts w:ascii="Times New Roman" w:hAnsi="Times New Roman"/>
          <w:sz w:val="28"/>
          <w:szCs w:val="28"/>
        </w:rPr>
      </w:pPr>
      <w:r w:rsidRPr="00B57FC1">
        <w:rPr>
          <w:rFonts w:ascii="Times New Roman" w:hAnsi="Times New Roman"/>
          <w:sz w:val="28"/>
          <w:szCs w:val="28"/>
        </w:rPr>
        <w:t>от −100 тысяч рублей до −10 тысяч рублей включительно</w:t>
      </w:r>
      <w:r>
        <w:rPr>
          <w:rFonts w:ascii="Times New Roman" w:hAnsi="Times New Roman"/>
          <w:sz w:val="28"/>
          <w:szCs w:val="28"/>
        </w:rPr>
        <w:t>;</w:t>
      </w:r>
    </w:p>
    <w:p w14:paraId="1364E2E4" w14:textId="13D901D7" w:rsidR="00B57FC1" w:rsidRDefault="00B57FC1" w:rsidP="00223077">
      <w:pPr>
        <w:tabs>
          <w:tab w:val="left" w:pos="851"/>
          <w:tab w:val="left" w:pos="993"/>
        </w:tabs>
        <w:autoSpaceDE w:val="0"/>
        <w:autoSpaceDN w:val="0"/>
        <w:adjustRightInd w:val="0"/>
        <w:spacing w:after="0" w:line="360" w:lineRule="auto"/>
        <w:ind w:left="709"/>
        <w:jc w:val="both"/>
        <w:outlineLvl w:val="0"/>
        <w:rPr>
          <w:rFonts w:ascii="Times New Roman" w:hAnsi="Times New Roman"/>
          <w:sz w:val="28"/>
          <w:szCs w:val="28"/>
        </w:rPr>
      </w:pPr>
      <w:r w:rsidRPr="00B57FC1">
        <w:rPr>
          <w:rFonts w:ascii="Times New Roman" w:hAnsi="Times New Roman"/>
          <w:sz w:val="28"/>
          <w:szCs w:val="28"/>
        </w:rPr>
        <w:t>от −10 тысяч рублей до 0 рублей включительно</w:t>
      </w:r>
      <w:r>
        <w:rPr>
          <w:rFonts w:ascii="Times New Roman" w:hAnsi="Times New Roman"/>
          <w:sz w:val="28"/>
          <w:szCs w:val="28"/>
        </w:rPr>
        <w:t>;</w:t>
      </w:r>
    </w:p>
    <w:p w14:paraId="07285A45" w14:textId="75A55256" w:rsidR="00B57FC1" w:rsidRDefault="00B57FC1" w:rsidP="00223077">
      <w:pPr>
        <w:tabs>
          <w:tab w:val="left" w:pos="851"/>
          <w:tab w:val="left" w:pos="993"/>
        </w:tabs>
        <w:autoSpaceDE w:val="0"/>
        <w:autoSpaceDN w:val="0"/>
        <w:adjustRightInd w:val="0"/>
        <w:spacing w:after="0" w:line="360" w:lineRule="auto"/>
        <w:ind w:left="709"/>
        <w:jc w:val="both"/>
        <w:outlineLvl w:val="0"/>
        <w:rPr>
          <w:rFonts w:ascii="Times New Roman" w:hAnsi="Times New Roman"/>
          <w:sz w:val="28"/>
          <w:szCs w:val="28"/>
        </w:rPr>
      </w:pPr>
      <w:r w:rsidRPr="00B57FC1">
        <w:rPr>
          <w:rFonts w:ascii="Times New Roman" w:hAnsi="Times New Roman"/>
          <w:sz w:val="28"/>
          <w:szCs w:val="28"/>
        </w:rPr>
        <w:t>0 рублей</w:t>
      </w:r>
      <w:r>
        <w:rPr>
          <w:rFonts w:ascii="Times New Roman" w:hAnsi="Times New Roman"/>
          <w:sz w:val="28"/>
          <w:szCs w:val="28"/>
        </w:rPr>
        <w:t>;</w:t>
      </w:r>
    </w:p>
    <w:p w14:paraId="6254929E" w14:textId="677A9C24" w:rsidR="00B57FC1" w:rsidRDefault="00B57FC1" w:rsidP="00223077">
      <w:pPr>
        <w:tabs>
          <w:tab w:val="left" w:pos="851"/>
          <w:tab w:val="left" w:pos="993"/>
        </w:tabs>
        <w:autoSpaceDE w:val="0"/>
        <w:autoSpaceDN w:val="0"/>
        <w:adjustRightInd w:val="0"/>
        <w:spacing w:after="0" w:line="360" w:lineRule="auto"/>
        <w:ind w:left="709"/>
        <w:jc w:val="both"/>
        <w:outlineLvl w:val="0"/>
        <w:rPr>
          <w:rFonts w:ascii="Times New Roman" w:hAnsi="Times New Roman"/>
          <w:sz w:val="28"/>
          <w:szCs w:val="28"/>
        </w:rPr>
      </w:pPr>
      <w:r w:rsidRPr="00B57FC1">
        <w:rPr>
          <w:rFonts w:ascii="Times New Roman" w:hAnsi="Times New Roman"/>
          <w:sz w:val="28"/>
          <w:szCs w:val="28"/>
        </w:rPr>
        <w:t>от 0 рублей до 10 тысяч рублей включительно</w:t>
      </w:r>
      <w:r>
        <w:rPr>
          <w:rFonts w:ascii="Times New Roman" w:hAnsi="Times New Roman"/>
          <w:sz w:val="28"/>
          <w:szCs w:val="28"/>
        </w:rPr>
        <w:t>;</w:t>
      </w:r>
    </w:p>
    <w:p w14:paraId="65C50F2E" w14:textId="14066B39" w:rsidR="00B57FC1" w:rsidRDefault="00B57FC1" w:rsidP="00223077">
      <w:pPr>
        <w:tabs>
          <w:tab w:val="left" w:pos="851"/>
          <w:tab w:val="left" w:pos="993"/>
        </w:tabs>
        <w:autoSpaceDE w:val="0"/>
        <w:autoSpaceDN w:val="0"/>
        <w:adjustRightInd w:val="0"/>
        <w:spacing w:after="0" w:line="360" w:lineRule="auto"/>
        <w:ind w:left="709"/>
        <w:jc w:val="both"/>
        <w:outlineLvl w:val="0"/>
        <w:rPr>
          <w:rFonts w:ascii="Times New Roman" w:hAnsi="Times New Roman"/>
          <w:sz w:val="28"/>
          <w:szCs w:val="28"/>
        </w:rPr>
      </w:pPr>
      <w:r w:rsidRPr="00B57FC1">
        <w:rPr>
          <w:rFonts w:ascii="Times New Roman" w:hAnsi="Times New Roman"/>
          <w:sz w:val="28"/>
          <w:szCs w:val="28"/>
        </w:rPr>
        <w:lastRenderedPageBreak/>
        <w:t>от 10 тысяч рублей до 100 тысяч рублей включительно</w:t>
      </w:r>
      <w:r>
        <w:rPr>
          <w:rFonts w:ascii="Times New Roman" w:hAnsi="Times New Roman"/>
          <w:sz w:val="28"/>
          <w:szCs w:val="28"/>
        </w:rPr>
        <w:t>;</w:t>
      </w:r>
    </w:p>
    <w:p w14:paraId="554C3861" w14:textId="222B7C29" w:rsidR="00B57FC1" w:rsidRDefault="00B57FC1" w:rsidP="00223077">
      <w:pPr>
        <w:tabs>
          <w:tab w:val="left" w:pos="851"/>
          <w:tab w:val="left" w:pos="993"/>
        </w:tabs>
        <w:autoSpaceDE w:val="0"/>
        <w:autoSpaceDN w:val="0"/>
        <w:adjustRightInd w:val="0"/>
        <w:spacing w:after="0" w:line="360" w:lineRule="auto"/>
        <w:ind w:left="709"/>
        <w:jc w:val="both"/>
        <w:outlineLvl w:val="0"/>
        <w:rPr>
          <w:rFonts w:ascii="Times New Roman" w:hAnsi="Times New Roman"/>
          <w:sz w:val="28"/>
          <w:szCs w:val="28"/>
        </w:rPr>
      </w:pPr>
      <w:r w:rsidRPr="00B57FC1">
        <w:rPr>
          <w:rFonts w:ascii="Times New Roman" w:hAnsi="Times New Roman"/>
          <w:sz w:val="28"/>
          <w:szCs w:val="28"/>
        </w:rPr>
        <w:t>от 100 тысяч рублей до 1 миллиона рублей включительно</w:t>
      </w:r>
      <w:r>
        <w:rPr>
          <w:rFonts w:ascii="Times New Roman" w:hAnsi="Times New Roman"/>
          <w:sz w:val="28"/>
          <w:szCs w:val="28"/>
        </w:rPr>
        <w:t>;</w:t>
      </w:r>
    </w:p>
    <w:p w14:paraId="794706D6" w14:textId="146CD4C7" w:rsidR="00B57FC1" w:rsidRDefault="00B57FC1" w:rsidP="00223077">
      <w:pPr>
        <w:tabs>
          <w:tab w:val="left" w:pos="851"/>
          <w:tab w:val="left" w:pos="993"/>
        </w:tabs>
        <w:autoSpaceDE w:val="0"/>
        <w:autoSpaceDN w:val="0"/>
        <w:adjustRightInd w:val="0"/>
        <w:spacing w:after="0" w:line="360" w:lineRule="auto"/>
        <w:ind w:left="709"/>
        <w:jc w:val="both"/>
        <w:outlineLvl w:val="0"/>
        <w:rPr>
          <w:rFonts w:ascii="Times New Roman" w:hAnsi="Times New Roman"/>
          <w:sz w:val="28"/>
          <w:szCs w:val="28"/>
        </w:rPr>
      </w:pPr>
      <w:r w:rsidRPr="00B57FC1">
        <w:rPr>
          <w:rFonts w:ascii="Times New Roman" w:hAnsi="Times New Roman"/>
          <w:sz w:val="28"/>
          <w:szCs w:val="28"/>
        </w:rPr>
        <w:t>от 1 миллиона рублей до 10 миллионов рублей включительно</w:t>
      </w:r>
      <w:r>
        <w:rPr>
          <w:rFonts w:ascii="Times New Roman" w:hAnsi="Times New Roman"/>
          <w:sz w:val="28"/>
          <w:szCs w:val="28"/>
        </w:rPr>
        <w:t>;</w:t>
      </w:r>
    </w:p>
    <w:p w14:paraId="2E2BA040" w14:textId="668D08E3" w:rsidR="00B57FC1" w:rsidRDefault="00B57FC1" w:rsidP="00223077">
      <w:pPr>
        <w:tabs>
          <w:tab w:val="left" w:pos="851"/>
          <w:tab w:val="left" w:pos="993"/>
        </w:tabs>
        <w:autoSpaceDE w:val="0"/>
        <w:autoSpaceDN w:val="0"/>
        <w:adjustRightInd w:val="0"/>
        <w:spacing w:after="0" w:line="360" w:lineRule="auto"/>
        <w:ind w:left="709"/>
        <w:jc w:val="both"/>
        <w:outlineLvl w:val="0"/>
        <w:rPr>
          <w:rFonts w:ascii="Times New Roman" w:hAnsi="Times New Roman"/>
          <w:sz w:val="28"/>
          <w:szCs w:val="28"/>
        </w:rPr>
      </w:pPr>
      <w:r w:rsidRPr="00B57FC1">
        <w:rPr>
          <w:rFonts w:ascii="Times New Roman" w:hAnsi="Times New Roman"/>
          <w:sz w:val="28"/>
          <w:szCs w:val="28"/>
        </w:rPr>
        <w:t>от 10 миллионов рублей до 100 миллионов рублей включительно</w:t>
      </w:r>
      <w:r>
        <w:rPr>
          <w:rFonts w:ascii="Times New Roman" w:hAnsi="Times New Roman"/>
          <w:sz w:val="28"/>
          <w:szCs w:val="28"/>
        </w:rPr>
        <w:t>;</w:t>
      </w:r>
    </w:p>
    <w:p w14:paraId="4B9AEC38" w14:textId="5C0080ED" w:rsidR="00B57FC1" w:rsidRDefault="00B57FC1" w:rsidP="00223077">
      <w:pPr>
        <w:tabs>
          <w:tab w:val="left" w:pos="851"/>
          <w:tab w:val="left" w:pos="993"/>
        </w:tabs>
        <w:autoSpaceDE w:val="0"/>
        <w:autoSpaceDN w:val="0"/>
        <w:adjustRightInd w:val="0"/>
        <w:spacing w:after="0" w:line="360" w:lineRule="auto"/>
        <w:ind w:left="709"/>
        <w:jc w:val="both"/>
        <w:outlineLvl w:val="0"/>
        <w:rPr>
          <w:rFonts w:ascii="Times New Roman" w:hAnsi="Times New Roman"/>
          <w:sz w:val="28"/>
          <w:szCs w:val="28"/>
        </w:rPr>
      </w:pPr>
      <w:r w:rsidRPr="00B57FC1">
        <w:rPr>
          <w:rFonts w:ascii="Times New Roman" w:hAnsi="Times New Roman"/>
          <w:sz w:val="28"/>
          <w:szCs w:val="28"/>
        </w:rPr>
        <w:t>более 100 миллионов рублей</w:t>
      </w:r>
      <w:r>
        <w:rPr>
          <w:rFonts w:ascii="Times New Roman" w:hAnsi="Times New Roman"/>
          <w:sz w:val="28"/>
          <w:szCs w:val="28"/>
        </w:rPr>
        <w:t>.</w:t>
      </w:r>
    </w:p>
    <w:p w14:paraId="1A5EE44F" w14:textId="196CA63C" w:rsidR="00B57FC1" w:rsidRDefault="00B57FC1" w:rsidP="008020D0">
      <w:pPr>
        <w:pStyle w:val="a3"/>
        <w:numPr>
          <w:ilvl w:val="1"/>
          <w:numId w:val="4"/>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B57FC1">
        <w:rPr>
          <w:rFonts w:ascii="Times New Roman" w:hAnsi="Times New Roman"/>
          <w:sz w:val="28"/>
          <w:szCs w:val="28"/>
        </w:rPr>
        <w:t>В граф</w:t>
      </w:r>
      <w:r w:rsidR="008020D0">
        <w:rPr>
          <w:rFonts w:ascii="Times New Roman" w:hAnsi="Times New Roman"/>
          <w:sz w:val="28"/>
          <w:szCs w:val="28"/>
        </w:rPr>
        <w:t>е</w:t>
      </w:r>
      <w:r w:rsidRPr="00B57FC1">
        <w:rPr>
          <w:rFonts w:ascii="Times New Roman" w:hAnsi="Times New Roman"/>
          <w:sz w:val="28"/>
          <w:szCs w:val="28"/>
        </w:rPr>
        <w:t xml:space="preserve"> </w:t>
      </w:r>
      <w:r w:rsidR="001730CB">
        <w:rPr>
          <w:rFonts w:ascii="Times New Roman" w:hAnsi="Times New Roman"/>
          <w:sz w:val="28"/>
          <w:szCs w:val="28"/>
        </w:rPr>
        <w:t>«</w:t>
      </w:r>
      <w:r w:rsidR="001730CB" w:rsidRPr="001730CB">
        <w:rPr>
          <w:rFonts w:ascii="Times New Roman" w:hAnsi="Times New Roman"/>
          <w:sz w:val="28"/>
          <w:szCs w:val="28"/>
        </w:rPr>
        <w:t>Количество клиентов</w:t>
      </w:r>
      <w:r w:rsidR="001730CB">
        <w:rPr>
          <w:rFonts w:ascii="Times New Roman" w:hAnsi="Times New Roman"/>
          <w:sz w:val="28"/>
          <w:szCs w:val="28"/>
        </w:rPr>
        <w:t>»</w:t>
      </w:r>
      <w:r w:rsidRPr="00B57FC1">
        <w:rPr>
          <w:rFonts w:ascii="Times New Roman" w:hAnsi="Times New Roman"/>
          <w:sz w:val="28"/>
          <w:szCs w:val="28"/>
        </w:rPr>
        <w:t xml:space="preserve"> </w:t>
      </w:r>
      <w:r w:rsidR="008020D0" w:rsidRPr="008020D0">
        <w:rPr>
          <w:rFonts w:ascii="Times New Roman" w:hAnsi="Times New Roman"/>
          <w:sz w:val="28"/>
          <w:szCs w:val="28"/>
        </w:rPr>
        <w:t>раздела 1 указыва</w:t>
      </w:r>
      <w:r w:rsidR="008020D0">
        <w:rPr>
          <w:rFonts w:ascii="Times New Roman" w:hAnsi="Times New Roman"/>
          <w:sz w:val="28"/>
          <w:szCs w:val="28"/>
        </w:rPr>
        <w:t>е</w:t>
      </w:r>
      <w:r w:rsidR="008020D0" w:rsidRPr="008020D0">
        <w:rPr>
          <w:rFonts w:ascii="Times New Roman" w:hAnsi="Times New Roman"/>
          <w:sz w:val="28"/>
          <w:szCs w:val="28"/>
        </w:rPr>
        <w:t>тся общее количество клиентов</w:t>
      </w:r>
      <w:r w:rsidR="008020D0">
        <w:rPr>
          <w:rFonts w:ascii="Times New Roman" w:hAnsi="Times New Roman"/>
          <w:sz w:val="28"/>
          <w:szCs w:val="28"/>
        </w:rPr>
        <w:t>.</w:t>
      </w:r>
      <w:r w:rsidR="008020D0" w:rsidRPr="008020D0">
        <w:rPr>
          <w:rFonts w:ascii="Times New Roman" w:hAnsi="Times New Roman"/>
          <w:sz w:val="28"/>
          <w:szCs w:val="28"/>
        </w:rPr>
        <w:t xml:space="preserve"> </w:t>
      </w:r>
      <w:r w:rsidR="008020D0">
        <w:rPr>
          <w:rFonts w:ascii="Times New Roman" w:hAnsi="Times New Roman"/>
          <w:sz w:val="28"/>
          <w:szCs w:val="28"/>
        </w:rPr>
        <w:t>В графе</w:t>
      </w:r>
      <w:r w:rsidRPr="00B57FC1">
        <w:rPr>
          <w:rFonts w:ascii="Times New Roman" w:hAnsi="Times New Roman"/>
          <w:sz w:val="28"/>
          <w:szCs w:val="28"/>
        </w:rPr>
        <w:t xml:space="preserve"> </w:t>
      </w:r>
      <w:r w:rsidR="001730CB">
        <w:rPr>
          <w:rFonts w:ascii="Times New Roman" w:hAnsi="Times New Roman"/>
          <w:sz w:val="28"/>
          <w:szCs w:val="28"/>
        </w:rPr>
        <w:t>«</w:t>
      </w:r>
      <w:r w:rsidR="001730CB" w:rsidRPr="001730CB">
        <w:rPr>
          <w:rFonts w:ascii="Times New Roman" w:hAnsi="Times New Roman"/>
          <w:sz w:val="28"/>
          <w:szCs w:val="28"/>
        </w:rPr>
        <w:t>Количество портфелей клиентов</w:t>
      </w:r>
      <w:r w:rsidR="001730CB">
        <w:rPr>
          <w:rFonts w:ascii="Times New Roman" w:hAnsi="Times New Roman"/>
          <w:sz w:val="28"/>
          <w:szCs w:val="28"/>
        </w:rPr>
        <w:t>»</w:t>
      </w:r>
      <w:r w:rsidRPr="00B57FC1">
        <w:rPr>
          <w:rFonts w:ascii="Times New Roman" w:hAnsi="Times New Roman"/>
          <w:sz w:val="28"/>
          <w:szCs w:val="28"/>
        </w:rPr>
        <w:t xml:space="preserve"> </w:t>
      </w:r>
      <w:r w:rsidR="008020D0" w:rsidRPr="008020D0">
        <w:rPr>
          <w:rFonts w:ascii="Times New Roman" w:hAnsi="Times New Roman"/>
          <w:sz w:val="28"/>
          <w:szCs w:val="28"/>
        </w:rPr>
        <w:t>раздела 1 указыва</w:t>
      </w:r>
      <w:r w:rsidR="008020D0">
        <w:rPr>
          <w:rFonts w:ascii="Times New Roman" w:hAnsi="Times New Roman"/>
          <w:sz w:val="28"/>
          <w:szCs w:val="28"/>
        </w:rPr>
        <w:t>е</w:t>
      </w:r>
      <w:r w:rsidR="008020D0" w:rsidRPr="008020D0">
        <w:rPr>
          <w:rFonts w:ascii="Times New Roman" w:hAnsi="Times New Roman"/>
          <w:sz w:val="28"/>
          <w:szCs w:val="28"/>
        </w:rPr>
        <w:t xml:space="preserve">тся </w:t>
      </w:r>
      <w:r w:rsidRPr="00B57FC1">
        <w:rPr>
          <w:rFonts w:ascii="Times New Roman" w:hAnsi="Times New Roman"/>
          <w:sz w:val="28"/>
          <w:szCs w:val="28"/>
        </w:rPr>
        <w:t xml:space="preserve">общее количество портфелей клиентов, удовлетворяющих одному из условий, указанных в </w:t>
      </w:r>
      <w:r w:rsidRPr="004B5DBD">
        <w:rPr>
          <w:rFonts w:ascii="Times New Roman" w:hAnsi="Times New Roman"/>
          <w:sz w:val="28"/>
          <w:szCs w:val="28"/>
        </w:rPr>
        <w:t>пункте 1.2</w:t>
      </w:r>
      <w:r w:rsidRPr="00B57FC1">
        <w:rPr>
          <w:rFonts w:ascii="Times New Roman" w:hAnsi="Times New Roman"/>
          <w:sz w:val="28"/>
          <w:szCs w:val="28"/>
        </w:rPr>
        <w:t xml:space="preserve"> настоящего Порядка</w:t>
      </w:r>
      <w:r w:rsidR="00F110A0">
        <w:rPr>
          <w:rFonts w:ascii="Times New Roman" w:hAnsi="Times New Roman"/>
          <w:sz w:val="28"/>
          <w:szCs w:val="28"/>
        </w:rPr>
        <w:t>, в разрезе граф, указанных в пункте 2.2 настоящего Порядка</w:t>
      </w:r>
      <w:r w:rsidRPr="00B57FC1">
        <w:rPr>
          <w:rFonts w:ascii="Times New Roman" w:hAnsi="Times New Roman"/>
          <w:sz w:val="28"/>
          <w:szCs w:val="28"/>
        </w:rPr>
        <w:t>.</w:t>
      </w:r>
    </w:p>
    <w:p w14:paraId="4F1AF4FA" w14:textId="06A951B3" w:rsidR="004B5DBD" w:rsidRDefault="00B57FC1" w:rsidP="00FF77A2">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highlight w:val="yellow"/>
        </w:rPr>
      </w:pPr>
      <w:r w:rsidRPr="00831D1D">
        <w:rPr>
          <w:rFonts w:ascii="Times New Roman" w:eastAsia="Calibri" w:hAnsi="Times New Roman"/>
          <w:color w:val="000000" w:themeColor="text1"/>
          <w:sz w:val="28"/>
          <w:szCs w:val="28"/>
        </w:rPr>
        <w:t>В случае если у клиента есть несколько портфелей, информация по которым подлежит раскрытию в Отчете</w:t>
      </w:r>
      <w:r w:rsidR="00442C9B" w:rsidRPr="00831D1D">
        <w:rPr>
          <w:rFonts w:ascii="Times New Roman" w:eastAsia="Calibri" w:hAnsi="Times New Roman"/>
          <w:color w:val="000000" w:themeColor="text1"/>
          <w:sz w:val="28"/>
          <w:szCs w:val="28"/>
        </w:rPr>
        <w:t>,</w:t>
      </w:r>
      <w:r w:rsidRPr="00831D1D">
        <w:rPr>
          <w:rFonts w:ascii="Times New Roman" w:eastAsia="Calibri" w:hAnsi="Times New Roman"/>
          <w:color w:val="000000" w:themeColor="text1"/>
          <w:sz w:val="28"/>
          <w:szCs w:val="28"/>
        </w:rPr>
        <w:t xml:space="preserve"> </w:t>
      </w:r>
      <w:r w:rsidR="004B5DBD" w:rsidRPr="00831D1D">
        <w:rPr>
          <w:rFonts w:ascii="Times New Roman" w:eastAsia="Calibri" w:hAnsi="Times New Roman"/>
          <w:color w:val="000000" w:themeColor="text1"/>
          <w:sz w:val="28"/>
          <w:szCs w:val="28"/>
        </w:rPr>
        <w:t xml:space="preserve">в графе </w:t>
      </w:r>
      <w:r w:rsidR="001730CB">
        <w:rPr>
          <w:rFonts w:ascii="Times New Roman" w:hAnsi="Times New Roman"/>
          <w:sz w:val="28"/>
          <w:szCs w:val="28"/>
        </w:rPr>
        <w:t>«</w:t>
      </w:r>
      <w:r w:rsidR="001730CB" w:rsidRPr="001730CB">
        <w:rPr>
          <w:rFonts w:ascii="Times New Roman" w:hAnsi="Times New Roman"/>
          <w:sz w:val="28"/>
          <w:szCs w:val="28"/>
        </w:rPr>
        <w:t>Количество клиентов</w:t>
      </w:r>
      <w:r w:rsidR="001730CB">
        <w:rPr>
          <w:rFonts w:ascii="Times New Roman" w:hAnsi="Times New Roman"/>
          <w:sz w:val="28"/>
          <w:szCs w:val="28"/>
        </w:rPr>
        <w:t>»</w:t>
      </w:r>
      <w:r w:rsidR="004B5DBD" w:rsidRPr="00831D1D">
        <w:rPr>
          <w:rFonts w:ascii="Times New Roman" w:eastAsia="Calibri" w:hAnsi="Times New Roman"/>
          <w:color w:val="000000" w:themeColor="text1"/>
          <w:sz w:val="28"/>
          <w:szCs w:val="28"/>
        </w:rPr>
        <w:t xml:space="preserve"> такой клиент учитывается однократно </w:t>
      </w:r>
      <w:r w:rsidR="00EE6636" w:rsidRPr="00831D1D">
        <w:rPr>
          <w:rFonts w:ascii="Times New Roman" w:eastAsia="Calibri" w:hAnsi="Times New Roman"/>
          <w:color w:val="000000" w:themeColor="text1"/>
          <w:sz w:val="28"/>
          <w:szCs w:val="28"/>
        </w:rPr>
        <w:t>по значению, которое соответствует портфелю такого клиента</w:t>
      </w:r>
      <w:r w:rsidR="00831D1D">
        <w:rPr>
          <w:rFonts w:ascii="Times New Roman" w:eastAsia="Calibri" w:hAnsi="Times New Roman"/>
          <w:color w:val="000000" w:themeColor="text1"/>
          <w:sz w:val="28"/>
          <w:szCs w:val="28"/>
        </w:rPr>
        <w:t xml:space="preserve"> </w:t>
      </w:r>
      <w:r w:rsidR="00831D1D" w:rsidRPr="00831D1D">
        <w:rPr>
          <w:rFonts w:ascii="Times New Roman" w:eastAsia="Calibri" w:hAnsi="Times New Roman"/>
          <w:color w:val="000000" w:themeColor="text1"/>
          <w:sz w:val="28"/>
          <w:szCs w:val="28"/>
        </w:rPr>
        <w:t xml:space="preserve">по наибольшему значению, указанному </w:t>
      </w:r>
      <w:r w:rsidR="00421400">
        <w:rPr>
          <w:rFonts w:ascii="Times New Roman" w:eastAsia="Calibri" w:hAnsi="Times New Roman"/>
          <w:color w:val="000000" w:themeColor="text1"/>
          <w:sz w:val="28"/>
          <w:szCs w:val="28"/>
        </w:rPr>
        <w:t>в</w:t>
      </w:r>
      <w:r w:rsidR="00831D1D" w:rsidRPr="00831D1D">
        <w:rPr>
          <w:rFonts w:ascii="Times New Roman" w:eastAsia="Calibri" w:hAnsi="Times New Roman"/>
          <w:color w:val="000000" w:themeColor="text1"/>
          <w:sz w:val="28"/>
          <w:szCs w:val="28"/>
        </w:rPr>
        <w:t xml:space="preserve"> графе </w:t>
      </w:r>
      <w:r w:rsidR="00831D1D" w:rsidRPr="00831D1D">
        <w:rPr>
          <w:rFonts w:ascii="Times New Roman" w:hAnsi="Times New Roman"/>
          <w:sz w:val="28"/>
          <w:szCs w:val="28"/>
          <w:lang w:eastAsia="ru-RU"/>
        </w:rPr>
        <w:t>«Группа клиентов по объему портфеля» (по модулю).</w:t>
      </w:r>
    </w:p>
    <w:p w14:paraId="0C6D1DCE" w14:textId="56EBA810" w:rsidR="00FF77A2" w:rsidRPr="00FF77A2" w:rsidRDefault="00FF77A2" w:rsidP="00600D3E">
      <w:pPr>
        <w:pStyle w:val="a3"/>
        <w:numPr>
          <w:ilvl w:val="1"/>
          <w:numId w:val="4"/>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7B438D">
        <w:rPr>
          <w:rFonts w:ascii="Times New Roman" w:eastAsia="Calibri" w:hAnsi="Times New Roman"/>
          <w:color w:val="000000" w:themeColor="text1"/>
          <w:sz w:val="28"/>
          <w:szCs w:val="28"/>
        </w:rPr>
        <w:t>В граф</w:t>
      </w:r>
      <w:r w:rsidR="008020D0">
        <w:rPr>
          <w:rFonts w:ascii="Times New Roman" w:eastAsia="Calibri" w:hAnsi="Times New Roman"/>
          <w:color w:val="000000" w:themeColor="text1"/>
          <w:sz w:val="28"/>
          <w:szCs w:val="28"/>
        </w:rPr>
        <w:t>е</w:t>
      </w:r>
      <w:r w:rsidRPr="007B438D">
        <w:rPr>
          <w:rFonts w:ascii="Times New Roman" w:eastAsia="Calibri" w:hAnsi="Times New Roman"/>
          <w:color w:val="000000" w:themeColor="text1"/>
          <w:sz w:val="28"/>
          <w:szCs w:val="28"/>
        </w:rPr>
        <w:t xml:space="preserve"> </w:t>
      </w:r>
      <w:r w:rsidR="00600D3E">
        <w:rPr>
          <w:rFonts w:ascii="Times New Roman" w:eastAsia="Calibri" w:hAnsi="Times New Roman"/>
          <w:color w:val="000000" w:themeColor="text1"/>
          <w:sz w:val="28"/>
          <w:szCs w:val="28"/>
        </w:rPr>
        <w:t>«</w:t>
      </w:r>
      <w:r w:rsidR="00600D3E" w:rsidRPr="00600D3E">
        <w:rPr>
          <w:rFonts w:ascii="Times New Roman" w:eastAsia="Calibri" w:hAnsi="Times New Roman"/>
          <w:color w:val="000000" w:themeColor="text1"/>
          <w:sz w:val="28"/>
          <w:szCs w:val="28"/>
        </w:rPr>
        <w:t>Размер НПР1</w:t>
      </w:r>
      <w:r w:rsidR="00600D3E">
        <w:rPr>
          <w:rFonts w:ascii="Times New Roman" w:eastAsia="Calibri" w:hAnsi="Times New Roman"/>
          <w:color w:val="000000" w:themeColor="text1"/>
          <w:sz w:val="28"/>
          <w:szCs w:val="28"/>
        </w:rPr>
        <w:t>»</w:t>
      </w:r>
      <w:r w:rsidRPr="007B438D">
        <w:rPr>
          <w:rFonts w:ascii="Times New Roman" w:eastAsia="Calibri" w:hAnsi="Times New Roman"/>
          <w:color w:val="000000" w:themeColor="text1"/>
          <w:sz w:val="28"/>
          <w:szCs w:val="28"/>
        </w:rPr>
        <w:t xml:space="preserve"> </w:t>
      </w:r>
      <w:r w:rsidR="008020D0" w:rsidRPr="007B438D">
        <w:rPr>
          <w:rFonts w:ascii="Times New Roman" w:eastAsia="Calibri" w:hAnsi="Times New Roman"/>
          <w:color w:val="000000" w:themeColor="text1"/>
          <w:sz w:val="28"/>
          <w:szCs w:val="28"/>
        </w:rPr>
        <w:t>раздела 1 указывается сумма НПР1</w:t>
      </w:r>
      <w:r w:rsidR="008020D0">
        <w:rPr>
          <w:rFonts w:ascii="Times New Roman" w:eastAsia="Calibri" w:hAnsi="Times New Roman"/>
          <w:color w:val="000000" w:themeColor="text1"/>
          <w:sz w:val="28"/>
          <w:szCs w:val="28"/>
        </w:rPr>
        <w:t xml:space="preserve">. </w:t>
      </w:r>
      <w:r w:rsidR="008020D0" w:rsidRPr="007B438D">
        <w:rPr>
          <w:rFonts w:ascii="Times New Roman" w:eastAsia="Calibri" w:hAnsi="Times New Roman"/>
          <w:color w:val="000000" w:themeColor="text1"/>
          <w:sz w:val="28"/>
          <w:szCs w:val="28"/>
        </w:rPr>
        <w:t>В граф</w:t>
      </w:r>
      <w:r w:rsidR="008020D0">
        <w:rPr>
          <w:rFonts w:ascii="Times New Roman" w:eastAsia="Calibri" w:hAnsi="Times New Roman"/>
          <w:color w:val="000000" w:themeColor="text1"/>
          <w:sz w:val="28"/>
          <w:szCs w:val="28"/>
        </w:rPr>
        <w:t>е</w:t>
      </w:r>
      <w:r w:rsidRPr="007B438D">
        <w:rPr>
          <w:rFonts w:ascii="Times New Roman" w:eastAsia="Calibri" w:hAnsi="Times New Roman"/>
          <w:color w:val="000000" w:themeColor="text1"/>
          <w:sz w:val="28"/>
          <w:szCs w:val="28"/>
        </w:rPr>
        <w:t xml:space="preserve"> </w:t>
      </w:r>
      <w:r w:rsidR="00600D3E">
        <w:rPr>
          <w:rFonts w:ascii="Times New Roman" w:eastAsia="Calibri" w:hAnsi="Times New Roman"/>
          <w:color w:val="000000" w:themeColor="text1"/>
          <w:sz w:val="28"/>
          <w:szCs w:val="28"/>
        </w:rPr>
        <w:t>«</w:t>
      </w:r>
      <w:r w:rsidR="00600D3E" w:rsidRPr="00600D3E">
        <w:rPr>
          <w:rFonts w:ascii="Times New Roman" w:eastAsia="Calibri" w:hAnsi="Times New Roman"/>
          <w:color w:val="000000" w:themeColor="text1"/>
          <w:sz w:val="28"/>
          <w:szCs w:val="28"/>
        </w:rPr>
        <w:t>Размер НПР2</w:t>
      </w:r>
      <w:r w:rsidR="00600D3E">
        <w:rPr>
          <w:rFonts w:ascii="Times New Roman" w:eastAsia="Calibri" w:hAnsi="Times New Roman"/>
          <w:color w:val="000000" w:themeColor="text1"/>
          <w:sz w:val="28"/>
          <w:szCs w:val="28"/>
        </w:rPr>
        <w:t>»</w:t>
      </w:r>
      <w:r w:rsidRPr="007B438D">
        <w:rPr>
          <w:rFonts w:ascii="Times New Roman" w:eastAsia="Calibri" w:hAnsi="Times New Roman"/>
          <w:color w:val="000000" w:themeColor="text1"/>
          <w:sz w:val="28"/>
          <w:szCs w:val="28"/>
        </w:rPr>
        <w:t xml:space="preserve"> раздела 1 указывается сумма НПР2. Отрицательные значения НПР1 и НПР2 указываются со знаком «−» (минус).</w:t>
      </w:r>
    </w:p>
    <w:p w14:paraId="1D5EDDA8" w14:textId="7E0DCFF3" w:rsidR="00FF77A2" w:rsidRDefault="00FF77A2" w:rsidP="00FF77A2">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sidRPr="00FF77A2">
        <w:rPr>
          <w:rFonts w:ascii="Times New Roman" w:hAnsi="Times New Roman"/>
          <w:sz w:val="28"/>
          <w:szCs w:val="28"/>
        </w:rPr>
        <w:t xml:space="preserve">Значение графы </w:t>
      </w:r>
      <w:r w:rsidR="00600D3E">
        <w:rPr>
          <w:rFonts w:ascii="Times New Roman" w:eastAsia="Calibri" w:hAnsi="Times New Roman"/>
          <w:color w:val="000000" w:themeColor="text1"/>
          <w:sz w:val="28"/>
          <w:szCs w:val="28"/>
        </w:rPr>
        <w:t>«</w:t>
      </w:r>
      <w:r w:rsidR="00600D3E" w:rsidRPr="00600D3E">
        <w:rPr>
          <w:rFonts w:ascii="Times New Roman" w:eastAsia="Calibri" w:hAnsi="Times New Roman"/>
          <w:color w:val="000000" w:themeColor="text1"/>
          <w:sz w:val="28"/>
          <w:szCs w:val="28"/>
        </w:rPr>
        <w:t>Размер НПР1</w:t>
      </w:r>
      <w:r w:rsidR="00600D3E">
        <w:rPr>
          <w:rFonts w:ascii="Times New Roman" w:eastAsia="Calibri" w:hAnsi="Times New Roman"/>
          <w:color w:val="000000" w:themeColor="text1"/>
          <w:sz w:val="28"/>
          <w:szCs w:val="28"/>
        </w:rPr>
        <w:t>»</w:t>
      </w:r>
      <w:r w:rsidRPr="00FF77A2">
        <w:rPr>
          <w:rFonts w:ascii="Times New Roman" w:hAnsi="Times New Roman"/>
          <w:sz w:val="28"/>
          <w:szCs w:val="28"/>
        </w:rPr>
        <w:t xml:space="preserve"> раздела 1 должно быть равно разности значений графы </w:t>
      </w:r>
      <w:r w:rsidR="00600D3E">
        <w:rPr>
          <w:rFonts w:ascii="Times New Roman" w:hAnsi="Times New Roman"/>
          <w:sz w:val="28"/>
          <w:szCs w:val="28"/>
        </w:rPr>
        <w:t>«</w:t>
      </w:r>
      <w:r w:rsidR="00600D3E" w:rsidRPr="001730CB">
        <w:rPr>
          <w:rFonts w:ascii="Times New Roman" w:hAnsi="Times New Roman"/>
          <w:sz w:val="28"/>
          <w:szCs w:val="28"/>
        </w:rPr>
        <w:t>Стоимость портфеля, всего</w:t>
      </w:r>
      <w:r w:rsidR="00600D3E">
        <w:rPr>
          <w:rFonts w:ascii="Times New Roman" w:hAnsi="Times New Roman"/>
          <w:sz w:val="28"/>
          <w:szCs w:val="28"/>
        </w:rPr>
        <w:t>»</w:t>
      </w:r>
      <w:r w:rsidRPr="00FF77A2">
        <w:rPr>
          <w:rFonts w:ascii="Times New Roman" w:hAnsi="Times New Roman"/>
          <w:sz w:val="28"/>
          <w:szCs w:val="28"/>
        </w:rPr>
        <w:t xml:space="preserve"> раздела 1 и графы </w:t>
      </w:r>
      <w:r w:rsidR="00600D3E">
        <w:rPr>
          <w:rFonts w:ascii="Times New Roman" w:hAnsi="Times New Roman"/>
          <w:sz w:val="28"/>
          <w:szCs w:val="28"/>
        </w:rPr>
        <w:t>«</w:t>
      </w:r>
      <w:r w:rsidR="00600D3E" w:rsidRPr="00600D3E">
        <w:rPr>
          <w:rFonts w:ascii="Times New Roman" w:hAnsi="Times New Roman"/>
          <w:sz w:val="28"/>
          <w:szCs w:val="28"/>
        </w:rPr>
        <w:t>Сумма начальной маржи, всего</w:t>
      </w:r>
      <w:r w:rsidR="00600D3E">
        <w:rPr>
          <w:rFonts w:ascii="Times New Roman" w:hAnsi="Times New Roman"/>
          <w:sz w:val="28"/>
          <w:szCs w:val="28"/>
        </w:rPr>
        <w:t>»</w:t>
      </w:r>
      <w:r w:rsidRPr="00FF77A2">
        <w:rPr>
          <w:rFonts w:ascii="Times New Roman" w:hAnsi="Times New Roman"/>
          <w:sz w:val="28"/>
          <w:szCs w:val="28"/>
        </w:rPr>
        <w:t xml:space="preserve"> раздела 1</w:t>
      </w:r>
      <w:r>
        <w:rPr>
          <w:rFonts w:ascii="Times New Roman" w:hAnsi="Times New Roman"/>
          <w:sz w:val="28"/>
          <w:szCs w:val="28"/>
        </w:rPr>
        <w:t>.</w:t>
      </w:r>
    </w:p>
    <w:p w14:paraId="4F77E73A" w14:textId="1A20F661" w:rsidR="00FF77A2" w:rsidRDefault="00FF77A2" w:rsidP="00FF77A2">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sidRPr="007B438D">
        <w:rPr>
          <w:rFonts w:ascii="Times New Roman" w:eastAsia="Calibri" w:hAnsi="Times New Roman"/>
          <w:color w:val="000000" w:themeColor="text1"/>
          <w:sz w:val="28"/>
          <w:szCs w:val="28"/>
        </w:rPr>
        <w:t xml:space="preserve">Значение графы </w:t>
      </w:r>
      <w:r w:rsidR="00600D3E">
        <w:rPr>
          <w:rFonts w:ascii="Times New Roman" w:eastAsia="Calibri" w:hAnsi="Times New Roman"/>
          <w:color w:val="000000" w:themeColor="text1"/>
          <w:sz w:val="28"/>
          <w:szCs w:val="28"/>
        </w:rPr>
        <w:t>«</w:t>
      </w:r>
      <w:r w:rsidR="00600D3E" w:rsidRPr="00600D3E">
        <w:rPr>
          <w:rFonts w:ascii="Times New Roman" w:eastAsia="Calibri" w:hAnsi="Times New Roman"/>
          <w:color w:val="000000" w:themeColor="text1"/>
          <w:sz w:val="28"/>
          <w:szCs w:val="28"/>
        </w:rPr>
        <w:t>Размер НПР2</w:t>
      </w:r>
      <w:r w:rsidR="00600D3E">
        <w:rPr>
          <w:rFonts w:ascii="Times New Roman" w:eastAsia="Calibri" w:hAnsi="Times New Roman"/>
          <w:color w:val="000000" w:themeColor="text1"/>
          <w:sz w:val="28"/>
          <w:szCs w:val="28"/>
        </w:rPr>
        <w:t>»</w:t>
      </w:r>
      <w:r w:rsidRPr="007B438D">
        <w:rPr>
          <w:rFonts w:ascii="Times New Roman" w:eastAsia="Calibri" w:hAnsi="Times New Roman"/>
          <w:color w:val="000000" w:themeColor="text1"/>
          <w:sz w:val="28"/>
          <w:szCs w:val="28"/>
        </w:rPr>
        <w:t xml:space="preserve"> раздела 1 должно быть равно разности значений графы </w:t>
      </w:r>
      <w:r w:rsidR="00600D3E">
        <w:rPr>
          <w:rFonts w:ascii="Times New Roman" w:hAnsi="Times New Roman"/>
          <w:sz w:val="28"/>
          <w:szCs w:val="28"/>
        </w:rPr>
        <w:t>«</w:t>
      </w:r>
      <w:r w:rsidR="00600D3E" w:rsidRPr="001730CB">
        <w:rPr>
          <w:rFonts w:ascii="Times New Roman" w:hAnsi="Times New Roman"/>
          <w:sz w:val="28"/>
          <w:szCs w:val="28"/>
        </w:rPr>
        <w:t>Стоимость портфеля, всего</w:t>
      </w:r>
      <w:r w:rsidR="00600D3E">
        <w:rPr>
          <w:rFonts w:ascii="Times New Roman" w:hAnsi="Times New Roman"/>
          <w:sz w:val="28"/>
          <w:szCs w:val="28"/>
        </w:rPr>
        <w:t>»</w:t>
      </w:r>
      <w:r w:rsidRPr="007B438D">
        <w:rPr>
          <w:rFonts w:ascii="Times New Roman" w:eastAsia="Calibri" w:hAnsi="Times New Roman"/>
          <w:color w:val="000000" w:themeColor="text1"/>
          <w:sz w:val="28"/>
          <w:szCs w:val="28"/>
        </w:rPr>
        <w:t xml:space="preserve"> раздела 1 и графы </w:t>
      </w:r>
      <w:r w:rsidR="00600D3E">
        <w:rPr>
          <w:rFonts w:ascii="Times New Roman" w:hAnsi="Times New Roman"/>
          <w:sz w:val="28"/>
          <w:szCs w:val="28"/>
        </w:rPr>
        <w:t>«</w:t>
      </w:r>
      <w:r w:rsidR="00600D3E" w:rsidRPr="00600D3E">
        <w:rPr>
          <w:rFonts w:ascii="Times New Roman" w:hAnsi="Times New Roman"/>
          <w:sz w:val="28"/>
          <w:szCs w:val="28"/>
        </w:rPr>
        <w:t>Сумма начальной маржи, всего</w:t>
      </w:r>
      <w:r w:rsidR="00600D3E">
        <w:rPr>
          <w:rFonts w:ascii="Times New Roman" w:hAnsi="Times New Roman"/>
          <w:sz w:val="28"/>
          <w:szCs w:val="28"/>
        </w:rPr>
        <w:t>»</w:t>
      </w:r>
      <w:r w:rsidRPr="007B438D">
        <w:rPr>
          <w:rFonts w:ascii="Times New Roman" w:eastAsia="Calibri" w:hAnsi="Times New Roman"/>
          <w:color w:val="000000" w:themeColor="text1"/>
          <w:sz w:val="28"/>
          <w:szCs w:val="28"/>
        </w:rPr>
        <w:t xml:space="preserve"> раздела 1</w:t>
      </w:r>
      <w:r w:rsidR="00F110A0">
        <w:rPr>
          <w:rFonts w:ascii="Times New Roman" w:eastAsia="Calibri" w:hAnsi="Times New Roman"/>
          <w:color w:val="000000" w:themeColor="text1"/>
          <w:sz w:val="28"/>
          <w:szCs w:val="28"/>
        </w:rPr>
        <w:t>, умноженной на коэффициент 0,5</w:t>
      </w:r>
      <w:r>
        <w:rPr>
          <w:rFonts w:ascii="Times New Roman" w:hAnsi="Times New Roman"/>
          <w:sz w:val="28"/>
          <w:szCs w:val="28"/>
        </w:rPr>
        <w:t>.</w:t>
      </w:r>
    </w:p>
    <w:p w14:paraId="6D9726C7" w14:textId="05753FB9" w:rsidR="00FF77A2" w:rsidRDefault="008C6E14" w:rsidP="0058394F">
      <w:pPr>
        <w:pStyle w:val="a3"/>
        <w:numPr>
          <w:ilvl w:val="1"/>
          <w:numId w:val="4"/>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8C6E14">
        <w:rPr>
          <w:rFonts w:ascii="Times New Roman" w:hAnsi="Times New Roman"/>
          <w:sz w:val="28"/>
          <w:szCs w:val="28"/>
        </w:rPr>
        <w:t xml:space="preserve">В графах </w:t>
      </w:r>
      <w:r w:rsidR="0058394F" w:rsidRPr="0058394F">
        <w:rPr>
          <w:rFonts w:ascii="Times New Roman" w:hAnsi="Times New Roman"/>
          <w:sz w:val="28"/>
          <w:szCs w:val="28"/>
        </w:rPr>
        <w:t>«Стоимость портфеля, всего» и «Детализация стоимости портфеля»</w:t>
      </w:r>
      <w:r w:rsidRPr="008C6E14">
        <w:rPr>
          <w:rFonts w:ascii="Times New Roman" w:hAnsi="Times New Roman"/>
          <w:sz w:val="28"/>
          <w:szCs w:val="28"/>
        </w:rPr>
        <w:t xml:space="preserve"> раздела 1 указывается стоимость портфеля клиента, рассчитанная в соответствии с пунктом 3 приложения к Указанию Банка России № 6681-У.</w:t>
      </w:r>
    </w:p>
    <w:p w14:paraId="7233FD4A" w14:textId="2A67AA9F" w:rsidR="008C6E14" w:rsidRDefault="008C6E14" w:rsidP="008C6E14">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sidRPr="008C6E14">
        <w:rPr>
          <w:rFonts w:ascii="Times New Roman" w:hAnsi="Times New Roman"/>
          <w:sz w:val="28"/>
          <w:szCs w:val="28"/>
        </w:rPr>
        <w:t>Стоимость портфеля клиента с особым уровнем риска рассчитывается по правилам, применяемым к портфелям клиентов с повышенным уровнем риска в соответствии с пунктом 37 Указания Банка России № 6681-У.</w:t>
      </w:r>
    </w:p>
    <w:p w14:paraId="660953E0" w14:textId="7E3E76A2" w:rsidR="008C6E14" w:rsidRDefault="008C6E14" w:rsidP="008C6E14">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sidRPr="008C6E14">
        <w:rPr>
          <w:rFonts w:ascii="Times New Roman" w:hAnsi="Times New Roman"/>
          <w:sz w:val="28"/>
          <w:szCs w:val="28"/>
        </w:rPr>
        <w:lastRenderedPageBreak/>
        <w:t xml:space="preserve">Значение графы </w:t>
      </w:r>
      <w:r w:rsidR="0058394F" w:rsidRPr="0058394F">
        <w:rPr>
          <w:rFonts w:ascii="Times New Roman" w:hAnsi="Times New Roman"/>
          <w:sz w:val="28"/>
          <w:szCs w:val="28"/>
        </w:rPr>
        <w:t>«Стоимость портфеля, всего»</w:t>
      </w:r>
      <w:r w:rsidRPr="008C6E14">
        <w:rPr>
          <w:rFonts w:ascii="Times New Roman" w:hAnsi="Times New Roman"/>
          <w:sz w:val="28"/>
          <w:szCs w:val="28"/>
        </w:rPr>
        <w:t xml:space="preserve"> раздела 1 должно быть равно сумме значений граф</w:t>
      </w:r>
      <w:r w:rsidR="0058394F">
        <w:rPr>
          <w:rFonts w:ascii="Times New Roman" w:hAnsi="Times New Roman"/>
          <w:sz w:val="28"/>
          <w:szCs w:val="28"/>
        </w:rPr>
        <w:t>ы</w:t>
      </w:r>
      <w:r w:rsidRPr="008C6E14">
        <w:rPr>
          <w:rFonts w:ascii="Times New Roman" w:hAnsi="Times New Roman"/>
          <w:sz w:val="28"/>
          <w:szCs w:val="28"/>
        </w:rPr>
        <w:t> </w:t>
      </w:r>
      <w:r w:rsidR="0058394F" w:rsidRPr="0058394F">
        <w:rPr>
          <w:rFonts w:ascii="Times New Roman" w:hAnsi="Times New Roman"/>
          <w:sz w:val="28"/>
          <w:szCs w:val="28"/>
        </w:rPr>
        <w:t>«Детализация стоимости портфеля»</w:t>
      </w:r>
      <w:r w:rsidRPr="008C6E14">
        <w:rPr>
          <w:rFonts w:ascii="Times New Roman" w:hAnsi="Times New Roman"/>
          <w:sz w:val="28"/>
          <w:szCs w:val="28"/>
        </w:rPr>
        <w:t xml:space="preserve"> раздела 1. Отрицательная стоимость портфеля в графе </w:t>
      </w:r>
      <w:r w:rsidR="0058394F" w:rsidRPr="0058394F">
        <w:rPr>
          <w:rFonts w:ascii="Times New Roman" w:hAnsi="Times New Roman"/>
          <w:sz w:val="28"/>
          <w:szCs w:val="28"/>
        </w:rPr>
        <w:t>«Стоимость портфеля, всего»</w:t>
      </w:r>
      <w:r w:rsidRPr="008C6E14">
        <w:rPr>
          <w:rFonts w:ascii="Times New Roman" w:hAnsi="Times New Roman"/>
          <w:sz w:val="28"/>
          <w:szCs w:val="28"/>
        </w:rPr>
        <w:t xml:space="preserve"> раздела 1 отражается со знаком «–» (минус).</w:t>
      </w:r>
    </w:p>
    <w:p w14:paraId="5892ACA7" w14:textId="65589FA9" w:rsidR="008C6E14" w:rsidRDefault="008C6E14" w:rsidP="008C6E14">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sidRPr="008C6E14">
        <w:rPr>
          <w:rFonts w:ascii="Times New Roman" w:hAnsi="Times New Roman"/>
          <w:sz w:val="28"/>
          <w:szCs w:val="28"/>
        </w:rPr>
        <w:t>Информация о стоимости портфеля клиента раскрывается в следующих разрезах:</w:t>
      </w:r>
    </w:p>
    <w:p w14:paraId="13F2110E" w14:textId="263B3BF9" w:rsidR="008C6E14" w:rsidRPr="008C6E14" w:rsidRDefault="008C6E14" w:rsidP="008C6E14">
      <w:pPr>
        <w:pStyle w:val="a3"/>
        <w:numPr>
          <w:ilvl w:val="2"/>
          <w:numId w:val="4"/>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7B438D">
        <w:rPr>
          <w:rFonts w:ascii="Times New Roman" w:eastAsia="Calibri" w:hAnsi="Times New Roman"/>
          <w:color w:val="000000" w:themeColor="text1"/>
          <w:sz w:val="28"/>
          <w:szCs w:val="28"/>
        </w:rPr>
        <w:t>По типу актива клиента:</w:t>
      </w:r>
    </w:p>
    <w:p w14:paraId="29492EA7" w14:textId="77777777" w:rsidR="008C6E14" w:rsidRPr="007B438D" w:rsidRDefault="008C6E14" w:rsidP="008C6E14">
      <w:pPr>
        <w:tabs>
          <w:tab w:val="left" w:pos="851"/>
          <w:tab w:val="left" w:pos="993"/>
          <w:tab w:val="left" w:pos="1134"/>
          <w:tab w:val="left" w:pos="1560"/>
        </w:tabs>
        <w:spacing w:after="0" w:line="360" w:lineRule="auto"/>
        <w:ind w:firstLine="709"/>
        <w:contextualSpacing/>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рубли;</w:t>
      </w:r>
    </w:p>
    <w:p w14:paraId="778F8904" w14:textId="77777777" w:rsidR="008C6E14" w:rsidRPr="007B438D" w:rsidRDefault="008C6E14" w:rsidP="008C6E14">
      <w:pPr>
        <w:tabs>
          <w:tab w:val="left" w:pos="851"/>
          <w:tab w:val="left" w:pos="993"/>
          <w:tab w:val="left" w:pos="1134"/>
          <w:tab w:val="left" w:pos="1560"/>
        </w:tabs>
        <w:spacing w:after="0" w:line="360" w:lineRule="auto"/>
        <w:ind w:firstLine="709"/>
        <w:contextualSpacing/>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иностранная валюта;</w:t>
      </w:r>
    </w:p>
    <w:p w14:paraId="5888622D" w14:textId="77777777" w:rsidR="008C6E14" w:rsidRPr="007B438D" w:rsidRDefault="008C6E14" w:rsidP="008C6E14">
      <w:pPr>
        <w:tabs>
          <w:tab w:val="left" w:pos="851"/>
          <w:tab w:val="left" w:pos="993"/>
          <w:tab w:val="left" w:pos="1134"/>
          <w:tab w:val="left" w:pos="1560"/>
        </w:tabs>
        <w:spacing w:after="0" w:line="360" w:lineRule="auto"/>
        <w:ind w:firstLine="709"/>
        <w:contextualSpacing/>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ценные бумаги;</w:t>
      </w:r>
    </w:p>
    <w:p w14:paraId="032B3EC7" w14:textId="77777777" w:rsidR="008C6E14" w:rsidRPr="007B438D" w:rsidRDefault="008C6E14" w:rsidP="008C6E14">
      <w:pPr>
        <w:tabs>
          <w:tab w:val="left" w:pos="851"/>
          <w:tab w:val="left" w:pos="993"/>
          <w:tab w:val="left" w:pos="1134"/>
          <w:tab w:val="left" w:pos="1560"/>
        </w:tabs>
        <w:spacing w:after="0" w:line="360" w:lineRule="auto"/>
        <w:ind w:firstLine="709"/>
        <w:contextualSpacing/>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фьючерсы;</w:t>
      </w:r>
    </w:p>
    <w:p w14:paraId="2D141762" w14:textId="77777777" w:rsidR="008C6E14" w:rsidRPr="007B438D" w:rsidRDefault="008C6E14" w:rsidP="008C6E14">
      <w:pPr>
        <w:tabs>
          <w:tab w:val="left" w:pos="851"/>
          <w:tab w:val="left" w:pos="993"/>
          <w:tab w:val="left" w:pos="1134"/>
          <w:tab w:val="left" w:pos="1560"/>
        </w:tabs>
        <w:spacing w:after="0" w:line="360" w:lineRule="auto"/>
        <w:ind w:firstLine="709"/>
        <w:contextualSpacing/>
        <w:jc w:val="both"/>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опционы;</w:t>
      </w:r>
    </w:p>
    <w:p w14:paraId="4978854A" w14:textId="25F147FE" w:rsidR="008C6E14" w:rsidRDefault="008C6E14" w:rsidP="008C6E14">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иное (в том числе драгоценные металлы).</w:t>
      </w:r>
    </w:p>
    <w:p w14:paraId="3463A18F" w14:textId="4CC011E1" w:rsidR="008C6E14" w:rsidRDefault="00D22C9E" w:rsidP="00D22C9E">
      <w:pPr>
        <w:pStyle w:val="a3"/>
        <w:numPr>
          <w:ilvl w:val="2"/>
          <w:numId w:val="4"/>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D22C9E">
        <w:rPr>
          <w:rFonts w:ascii="Times New Roman" w:hAnsi="Times New Roman"/>
          <w:sz w:val="28"/>
          <w:szCs w:val="28"/>
        </w:rPr>
        <w:t>По направлению позиции:</w:t>
      </w:r>
    </w:p>
    <w:p w14:paraId="7F7ACCA9" w14:textId="6A6F5A4E" w:rsidR="00D22C9E" w:rsidRDefault="00D22C9E" w:rsidP="00D22C9E">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sidRPr="00D22C9E">
        <w:rPr>
          <w:rFonts w:ascii="Times New Roman" w:hAnsi="Times New Roman"/>
          <w:sz w:val="28"/>
          <w:szCs w:val="28"/>
        </w:rPr>
        <w:t>длинная – отражается часть стоимости портфеля клиента, сформированная за счет активов, плановая позиция по которым больше нуля на дату расчета;</w:t>
      </w:r>
    </w:p>
    <w:p w14:paraId="4CE84C0F" w14:textId="70C80BE9" w:rsidR="00D22C9E" w:rsidRDefault="00D22C9E" w:rsidP="00D22C9E">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короткая – отражается со знаком «−» (минус) часть стоимости портфеля клиента, сформированная за счет активов, плановая позиция по которым меньше нуля на дату расчета.</w:t>
      </w:r>
    </w:p>
    <w:p w14:paraId="457DD338" w14:textId="4C305C36" w:rsidR="00D22C9E" w:rsidRPr="00B8547E" w:rsidRDefault="00B8547E" w:rsidP="00B8547E">
      <w:pPr>
        <w:pStyle w:val="a3"/>
        <w:numPr>
          <w:ilvl w:val="2"/>
          <w:numId w:val="4"/>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7B438D">
        <w:rPr>
          <w:rFonts w:ascii="Times New Roman" w:eastAsia="Calibri" w:hAnsi="Times New Roman"/>
          <w:color w:val="000000" w:themeColor="text1"/>
          <w:sz w:val="28"/>
          <w:szCs w:val="28"/>
        </w:rPr>
        <w:t>По методу расчета стоимости портфеля клиента:</w:t>
      </w:r>
    </w:p>
    <w:p w14:paraId="764E5716" w14:textId="46FC22A8" w:rsidR="00B8547E" w:rsidRDefault="00B8547E" w:rsidP="00B8547E">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стоимость портфеля клиента, рассчитанная в соответствии с пунктом 3 приложения к Указанию Банка России № 6681-У (базовый метод расчета стоимости портфеля клиента);</w:t>
      </w:r>
    </w:p>
    <w:p w14:paraId="51CA67D6" w14:textId="568B9967" w:rsidR="00B8547E" w:rsidRDefault="00B8547E" w:rsidP="00B8547E">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стоимость портфеля клиента, рассчитанная в соответствии с пунктом 3 приложения к Указанию Банка России № 6681-У с учетом ограничения, установленного пунктом 19 приложения к Указанию Банка России № 6681-У в отношении опционных договоров, условия которых не соответствуют пункту 53 приложения к Указанию Банка России № 6681-У (внутренний метод расчета стоимости портфеля клиента).</w:t>
      </w:r>
    </w:p>
    <w:p w14:paraId="4488DE1B" w14:textId="5222342F" w:rsidR="00B8547E" w:rsidRPr="00B8547E" w:rsidRDefault="00B8547E" w:rsidP="0058394F">
      <w:pPr>
        <w:pStyle w:val="a3"/>
        <w:numPr>
          <w:ilvl w:val="1"/>
          <w:numId w:val="4"/>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7B438D">
        <w:rPr>
          <w:rFonts w:ascii="Times New Roman" w:eastAsia="Calibri" w:hAnsi="Times New Roman"/>
          <w:color w:val="000000" w:themeColor="text1"/>
          <w:sz w:val="28"/>
          <w:szCs w:val="28"/>
        </w:rPr>
        <w:lastRenderedPageBreak/>
        <w:t>В граф</w:t>
      </w:r>
      <w:r w:rsidR="0058394F">
        <w:rPr>
          <w:rFonts w:ascii="Times New Roman" w:eastAsia="Calibri" w:hAnsi="Times New Roman"/>
          <w:color w:val="000000" w:themeColor="text1"/>
          <w:sz w:val="28"/>
          <w:szCs w:val="28"/>
        </w:rPr>
        <w:t>ах</w:t>
      </w:r>
      <w:r w:rsidRPr="007B438D">
        <w:rPr>
          <w:rFonts w:ascii="Times New Roman" w:eastAsia="Calibri" w:hAnsi="Times New Roman"/>
          <w:color w:val="000000" w:themeColor="text1"/>
          <w:sz w:val="28"/>
          <w:szCs w:val="28"/>
        </w:rPr>
        <w:t xml:space="preserve"> </w:t>
      </w:r>
      <w:r w:rsidR="0058394F">
        <w:rPr>
          <w:rFonts w:ascii="Times New Roman" w:eastAsia="Calibri" w:hAnsi="Times New Roman"/>
          <w:color w:val="000000" w:themeColor="text1"/>
          <w:sz w:val="28"/>
          <w:szCs w:val="28"/>
        </w:rPr>
        <w:t>«</w:t>
      </w:r>
      <w:r w:rsidR="0058394F" w:rsidRPr="0058394F">
        <w:rPr>
          <w:rFonts w:ascii="Times New Roman" w:eastAsia="Calibri" w:hAnsi="Times New Roman"/>
          <w:color w:val="000000" w:themeColor="text1"/>
          <w:sz w:val="28"/>
          <w:szCs w:val="28"/>
        </w:rPr>
        <w:t>Сумма начальной маржи, всего</w:t>
      </w:r>
      <w:r w:rsidR="0058394F">
        <w:rPr>
          <w:rFonts w:ascii="Times New Roman" w:eastAsia="Calibri" w:hAnsi="Times New Roman"/>
          <w:color w:val="000000" w:themeColor="text1"/>
          <w:sz w:val="28"/>
          <w:szCs w:val="28"/>
        </w:rPr>
        <w:t>» и «</w:t>
      </w:r>
      <w:r w:rsidR="0058394F" w:rsidRPr="0058394F">
        <w:rPr>
          <w:rFonts w:ascii="Times New Roman" w:eastAsia="Calibri" w:hAnsi="Times New Roman"/>
          <w:color w:val="000000" w:themeColor="text1"/>
          <w:sz w:val="28"/>
          <w:szCs w:val="28"/>
        </w:rPr>
        <w:t>Детализация суммы начальной маржи</w:t>
      </w:r>
      <w:r w:rsidR="0058394F">
        <w:rPr>
          <w:rFonts w:ascii="Times New Roman" w:eastAsia="Calibri" w:hAnsi="Times New Roman"/>
          <w:color w:val="000000" w:themeColor="text1"/>
          <w:sz w:val="28"/>
          <w:szCs w:val="28"/>
        </w:rPr>
        <w:t>»</w:t>
      </w:r>
      <w:r w:rsidRPr="007B438D">
        <w:rPr>
          <w:rFonts w:ascii="Times New Roman" w:eastAsia="Calibri" w:hAnsi="Times New Roman"/>
          <w:color w:val="000000" w:themeColor="text1"/>
          <w:sz w:val="28"/>
          <w:szCs w:val="28"/>
        </w:rPr>
        <w:t xml:space="preserve"> раздела 1 указывается сумма начальной маржи портфеля клиента, рассчитанная в соответствии с пунктом 18 приложения к Указанию Банка России № 6681-У.</w:t>
      </w:r>
    </w:p>
    <w:p w14:paraId="45A33C74" w14:textId="2B024D83" w:rsidR="00B8547E" w:rsidRDefault="00B8547E" w:rsidP="00B8547E">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 xml:space="preserve">Сумма начальной маржи портфеля клиента с особым уровнем риска рассчитывается по правилам, применяемым к портфелям клиентов с повышенным уровнем риска. Значение графы </w:t>
      </w:r>
      <w:r w:rsidR="0058394F">
        <w:rPr>
          <w:rFonts w:ascii="Times New Roman" w:eastAsia="Calibri" w:hAnsi="Times New Roman"/>
          <w:color w:val="000000" w:themeColor="text1"/>
          <w:sz w:val="28"/>
          <w:szCs w:val="28"/>
        </w:rPr>
        <w:t>«</w:t>
      </w:r>
      <w:r w:rsidR="0058394F" w:rsidRPr="0058394F">
        <w:rPr>
          <w:rFonts w:ascii="Times New Roman" w:eastAsia="Calibri" w:hAnsi="Times New Roman"/>
          <w:color w:val="000000" w:themeColor="text1"/>
          <w:sz w:val="28"/>
          <w:szCs w:val="28"/>
        </w:rPr>
        <w:t>Сумма начальной маржи, всего</w:t>
      </w:r>
      <w:r w:rsidR="0058394F">
        <w:rPr>
          <w:rFonts w:ascii="Times New Roman" w:eastAsia="Calibri" w:hAnsi="Times New Roman"/>
          <w:color w:val="000000" w:themeColor="text1"/>
          <w:sz w:val="28"/>
          <w:szCs w:val="28"/>
        </w:rPr>
        <w:t>»</w:t>
      </w:r>
      <w:r w:rsidRPr="007B438D">
        <w:rPr>
          <w:rFonts w:ascii="Times New Roman" w:eastAsia="Calibri" w:hAnsi="Times New Roman"/>
          <w:color w:val="000000" w:themeColor="text1"/>
          <w:sz w:val="28"/>
          <w:szCs w:val="28"/>
        </w:rPr>
        <w:t xml:space="preserve"> раздела 1 должно быть равно сумме значений граф</w:t>
      </w:r>
      <w:r w:rsidR="0058394F">
        <w:rPr>
          <w:rFonts w:ascii="Times New Roman" w:eastAsia="Calibri" w:hAnsi="Times New Roman"/>
          <w:color w:val="000000" w:themeColor="text1"/>
          <w:sz w:val="28"/>
          <w:szCs w:val="28"/>
        </w:rPr>
        <w:t>ы</w:t>
      </w:r>
      <w:r w:rsidRPr="007B438D">
        <w:rPr>
          <w:rFonts w:ascii="Times New Roman" w:eastAsia="Calibri" w:hAnsi="Times New Roman"/>
          <w:color w:val="000000" w:themeColor="text1"/>
          <w:sz w:val="28"/>
          <w:szCs w:val="28"/>
        </w:rPr>
        <w:t xml:space="preserve"> </w:t>
      </w:r>
      <w:r w:rsidR="0058394F">
        <w:rPr>
          <w:rFonts w:ascii="Times New Roman" w:eastAsia="Calibri" w:hAnsi="Times New Roman"/>
          <w:color w:val="000000" w:themeColor="text1"/>
          <w:sz w:val="28"/>
          <w:szCs w:val="28"/>
        </w:rPr>
        <w:t>«</w:t>
      </w:r>
      <w:r w:rsidR="0058394F" w:rsidRPr="0058394F">
        <w:rPr>
          <w:rFonts w:ascii="Times New Roman" w:eastAsia="Calibri" w:hAnsi="Times New Roman"/>
          <w:color w:val="000000" w:themeColor="text1"/>
          <w:sz w:val="28"/>
          <w:szCs w:val="28"/>
        </w:rPr>
        <w:t>Детализация суммы начальной маржи</w:t>
      </w:r>
      <w:r w:rsidR="0058394F">
        <w:rPr>
          <w:rFonts w:ascii="Times New Roman" w:eastAsia="Calibri" w:hAnsi="Times New Roman"/>
          <w:color w:val="000000" w:themeColor="text1"/>
          <w:sz w:val="28"/>
          <w:szCs w:val="28"/>
        </w:rPr>
        <w:t xml:space="preserve">» </w:t>
      </w:r>
      <w:r w:rsidRPr="007B438D">
        <w:rPr>
          <w:rFonts w:ascii="Times New Roman" w:eastAsia="Calibri" w:hAnsi="Times New Roman"/>
          <w:color w:val="000000" w:themeColor="text1"/>
          <w:sz w:val="28"/>
          <w:szCs w:val="28"/>
        </w:rPr>
        <w:t>раздела 1.</w:t>
      </w:r>
    </w:p>
    <w:p w14:paraId="532E3F16" w14:textId="715C20A3" w:rsidR="00B8547E" w:rsidRDefault="00B8547E" w:rsidP="00B8547E">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Информация о сумме начальной маржи раскрывается в следующих разрезах:</w:t>
      </w:r>
    </w:p>
    <w:p w14:paraId="765D06D2" w14:textId="635135CF" w:rsidR="00B8547E" w:rsidRPr="00B8547E" w:rsidRDefault="00B8547E" w:rsidP="00B8547E">
      <w:pPr>
        <w:pStyle w:val="a3"/>
        <w:numPr>
          <w:ilvl w:val="2"/>
          <w:numId w:val="4"/>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7B438D">
        <w:rPr>
          <w:rFonts w:ascii="Times New Roman" w:eastAsia="Calibri" w:hAnsi="Times New Roman"/>
          <w:color w:val="000000" w:themeColor="text1"/>
          <w:sz w:val="28"/>
          <w:szCs w:val="28"/>
        </w:rPr>
        <w:t>По типу актива клиента:</w:t>
      </w:r>
    </w:p>
    <w:p w14:paraId="07CF5486" w14:textId="77777777" w:rsidR="00B8547E" w:rsidRPr="007B438D" w:rsidRDefault="00B8547E" w:rsidP="00B8547E">
      <w:pPr>
        <w:tabs>
          <w:tab w:val="left" w:pos="851"/>
          <w:tab w:val="left" w:pos="993"/>
          <w:tab w:val="left" w:pos="1134"/>
          <w:tab w:val="left" w:pos="1418"/>
          <w:tab w:val="left" w:pos="1560"/>
        </w:tabs>
        <w:spacing w:after="0" w:line="360" w:lineRule="auto"/>
        <w:ind w:firstLine="709"/>
        <w:contextualSpacing/>
        <w:jc w:val="both"/>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 xml:space="preserve">иностранная валюта (в том числе риск по валютным позициям, в случае если указанный риск рассчитывается в рамках показателя </w:t>
      </w:r>
      <w:proofErr w:type="spellStart"/>
      <w:r w:rsidRPr="007B438D">
        <w:rPr>
          <w:rFonts w:ascii="Times New Roman" w:eastAsia="Calibri" w:hAnsi="Times New Roman"/>
          <w:color w:val="000000" w:themeColor="text1"/>
          <w:sz w:val="28"/>
          <w:szCs w:val="28"/>
        </w:rPr>
        <w:t>QRi</w:t>
      </w:r>
      <w:proofErr w:type="spellEnd"/>
      <w:r w:rsidRPr="007B438D">
        <w:rPr>
          <w:rFonts w:ascii="Times New Roman" w:eastAsia="Calibri" w:hAnsi="Times New Roman"/>
          <w:color w:val="000000" w:themeColor="text1"/>
          <w:sz w:val="28"/>
          <w:szCs w:val="28"/>
        </w:rPr>
        <w:t xml:space="preserve"> в соответствии </w:t>
      </w:r>
      <w:r w:rsidRPr="007B438D">
        <w:rPr>
          <w:rFonts w:ascii="Times New Roman" w:eastAsia="Calibri" w:hAnsi="Times New Roman"/>
          <w:color w:val="000000" w:themeColor="text1"/>
          <w:spacing w:val="-2"/>
          <w:sz w:val="28"/>
          <w:szCs w:val="28"/>
        </w:rPr>
        <w:t>с подпунктом 20.3 пункта 20 приложения к Указанию Банка России № 6681-У);</w:t>
      </w:r>
    </w:p>
    <w:p w14:paraId="37EA4FFA" w14:textId="77777777" w:rsidR="00B8547E" w:rsidRPr="007B438D" w:rsidRDefault="00B8547E" w:rsidP="00B8547E">
      <w:pPr>
        <w:tabs>
          <w:tab w:val="left" w:pos="851"/>
          <w:tab w:val="left" w:pos="993"/>
          <w:tab w:val="left" w:pos="1134"/>
          <w:tab w:val="left" w:pos="1560"/>
        </w:tabs>
        <w:spacing w:after="0" w:line="360" w:lineRule="auto"/>
        <w:ind w:firstLine="709"/>
        <w:contextualSpacing/>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ценные бумаги;</w:t>
      </w:r>
    </w:p>
    <w:p w14:paraId="330B059C" w14:textId="77777777" w:rsidR="00B8547E" w:rsidRPr="007B438D" w:rsidRDefault="00B8547E" w:rsidP="00B8547E">
      <w:pPr>
        <w:tabs>
          <w:tab w:val="left" w:pos="851"/>
          <w:tab w:val="left" w:pos="993"/>
          <w:tab w:val="left" w:pos="1134"/>
          <w:tab w:val="left" w:pos="1560"/>
        </w:tabs>
        <w:spacing w:after="0" w:line="360" w:lineRule="auto"/>
        <w:ind w:firstLine="709"/>
        <w:contextualSpacing/>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фьючерсы;</w:t>
      </w:r>
    </w:p>
    <w:p w14:paraId="48E2F8B4" w14:textId="77777777" w:rsidR="00B8547E" w:rsidRPr="007B438D" w:rsidRDefault="00B8547E" w:rsidP="00B8547E">
      <w:pPr>
        <w:tabs>
          <w:tab w:val="left" w:pos="851"/>
          <w:tab w:val="left" w:pos="993"/>
          <w:tab w:val="left" w:pos="1134"/>
          <w:tab w:val="left" w:pos="1560"/>
        </w:tabs>
        <w:spacing w:after="0" w:line="360" w:lineRule="auto"/>
        <w:ind w:firstLine="709"/>
        <w:contextualSpacing/>
        <w:jc w:val="both"/>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опционы;</w:t>
      </w:r>
    </w:p>
    <w:p w14:paraId="3D8A3133" w14:textId="515DAA61" w:rsidR="00B8547E" w:rsidRDefault="00B8547E" w:rsidP="00B8547E">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иное (в том числе драгоценные металлы).</w:t>
      </w:r>
    </w:p>
    <w:p w14:paraId="115E3C9C" w14:textId="6083E99C" w:rsidR="00B8547E" w:rsidRPr="00B8547E" w:rsidRDefault="00B8547E" w:rsidP="00B8547E">
      <w:pPr>
        <w:pStyle w:val="a3"/>
        <w:numPr>
          <w:ilvl w:val="2"/>
          <w:numId w:val="4"/>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7B438D">
        <w:rPr>
          <w:rFonts w:ascii="Times New Roman" w:eastAsia="Calibri" w:hAnsi="Times New Roman"/>
          <w:color w:val="000000" w:themeColor="text1"/>
          <w:sz w:val="28"/>
          <w:szCs w:val="28"/>
        </w:rPr>
        <w:t>По методу расчета начальной маржи:</w:t>
      </w:r>
    </w:p>
    <w:p w14:paraId="3FA5ECEC" w14:textId="6D27B212" w:rsidR="00B8547E" w:rsidRDefault="00B8547E" w:rsidP="00B8547E">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 xml:space="preserve">начальная маржа, рассчитанная в соответствии с пунктом </w:t>
      </w:r>
      <w:r w:rsidRPr="007B438D">
        <w:rPr>
          <w:rFonts w:ascii="Times New Roman" w:hAnsi="Times New Roman"/>
          <w:color w:val="000000" w:themeColor="text1"/>
          <w:sz w:val="28"/>
          <w:szCs w:val="28"/>
        </w:rPr>
        <w:t>18 приложения к Указанию Банка России № 6681-У</w:t>
      </w:r>
      <w:r w:rsidRPr="007B438D">
        <w:rPr>
          <w:rFonts w:ascii="Times New Roman" w:eastAsia="Calibri" w:hAnsi="Times New Roman"/>
          <w:color w:val="000000" w:themeColor="text1"/>
          <w:sz w:val="28"/>
          <w:szCs w:val="28"/>
        </w:rPr>
        <w:t xml:space="preserve"> (базовый метод расчета начальной маржи</w:t>
      </w:r>
      <w:r w:rsidRPr="007B438D">
        <w:rPr>
          <w:rFonts w:ascii="Times New Roman" w:eastAsia="Calibri" w:hAnsi="Times New Roman"/>
          <w:color w:val="000000" w:themeColor="text1"/>
        </w:rPr>
        <w:t>)</w:t>
      </w:r>
      <w:r w:rsidRPr="007B438D">
        <w:rPr>
          <w:rFonts w:ascii="Times New Roman" w:eastAsia="Calibri" w:hAnsi="Times New Roman"/>
          <w:color w:val="000000" w:themeColor="text1"/>
          <w:sz w:val="28"/>
          <w:szCs w:val="28"/>
        </w:rPr>
        <w:t>;</w:t>
      </w:r>
    </w:p>
    <w:p w14:paraId="26E74092" w14:textId="63E30678" w:rsidR="00B8547E" w:rsidRDefault="00B8547E" w:rsidP="00B8547E">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начальная маржа, рассчитанная в соответствии с пунктами 18 и 19 приложения к Указанию Банка России № 6681-У в отношении опционных договоров, условия которых не соответствуют пункту 53 приложения к Указанию Банка России № 6681-У (внутренний метод расчета начальной маржи);</w:t>
      </w:r>
    </w:p>
    <w:p w14:paraId="177C2155" w14:textId="4A31F5D6" w:rsidR="00B8547E" w:rsidRDefault="00B8547E" w:rsidP="00B8547E">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lastRenderedPageBreak/>
        <w:t xml:space="preserve">начальная маржа, рассчитанная в соответствии с пунктом </w:t>
      </w:r>
      <w:r w:rsidRPr="007B438D">
        <w:rPr>
          <w:rFonts w:ascii="Times New Roman" w:hAnsi="Times New Roman"/>
          <w:color w:val="000000" w:themeColor="text1"/>
          <w:sz w:val="28"/>
          <w:szCs w:val="28"/>
        </w:rPr>
        <w:t>37 приложения к Указанию Банка России № 6681-У</w:t>
      </w:r>
      <w:r w:rsidRPr="007B438D">
        <w:rPr>
          <w:rFonts w:ascii="Times New Roman" w:eastAsia="Calibri" w:hAnsi="Times New Roman"/>
          <w:color w:val="000000" w:themeColor="text1"/>
          <w:sz w:val="28"/>
          <w:szCs w:val="28"/>
        </w:rPr>
        <w:t xml:space="preserve"> (рыночный метод расчета начальной маржи).</w:t>
      </w:r>
    </w:p>
    <w:p w14:paraId="79B0F26C" w14:textId="76CD6E5C" w:rsidR="00B8547E" w:rsidRDefault="00B8547E" w:rsidP="00B8547E">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В случае если кредитная организация – брокер осуществляет расчет начальной маржи с применением метода, предусмотренного пунктом 23 приложения к Указанию Банка России № 6681-У (расчет с у</w:t>
      </w:r>
      <w:r w:rsidR="00F60563">
        <w:rPr>
          <w:rFonts w:ascii="Times New Roman" w:eastAsia="Calibri" w:hAnsi="Times New Roman"/>
          <w:color w:val="000000" w:themeColor="text1"/>
          <w:sz w:val="28"/>
          <w:szCs w:val="28"/>
        </w:rPr>
        <w:t>четом зависимых множеств), графа</w:t>
      </w:r>
      <w:r w:rsidRPr="007B438D">
        <w:rPr>
          <w:rFonts w:ascii="Times New Roman" w:eastAsia="Calibri" w:hAnsi="Times New Roman"/>
          <w:color w:val="000000" w:themeColor="text1"/>
          <w:sz w:val="28"/>
          <w:szCs w:val="28"/>
        </w:rPr>
        <w:t xml:space="preserve"> </w:t>
      </w:r>
      <w:r w:rsidR="00F60563">
        <w:rPr>
          <w:rFonts w:ascii="Times New Roman" w:eastAsia="Calibri" w:hAnsi="Times New Roman"/>
          <w:color w:val="000000" w:themeColor="text1"/>
          <w:sz w:val="28"/>
          <w:szCs w:val="28"/>
        </w:rPr>
        <w:t>«</w:t>
      </w:r>
      <w:r w:rsidR="00F60563" w:rsidRPr="00F60563">
        <w:rPr>
          <w:rFonts w:ascii="Times New Roman" w:eastAsia="Calibri" w:hAnsi="Times New Roman"/>
          <w:color w:val="000000" w:themeColor="text1"/>
          <w:sz w:val="28"/>
          <w:szCs w:val="28"/>
        </w:rPr>
        <w:t>в том числе метод расчета стоимости портфеля (по типу актива): сумма начальной маржи по базовому методу</w:t>
      </w:r>
      <w:r w:rsidR="00F60563">
        <w:rPr>
          <w:rFonts w:ascii="Times New Roman" w:eastAsia="Calibri" w:hAnsi="Times New Roman"/>
          <w:color w:val="000000" w:themeColor="text1"/>
          <w:sz w:val="28"/>
          <w:szCs w:val="28"/>
        </w:rPr>
        <w:t xml:space="preserve">» </w:t>
      </w:r>
      <w:r w:rsidRPr="007B438D">
        <w:rPr>
          <w:rFonts w:ascii="Times New Roman" w:eastAsia="Calibri" w:hAnsi="Times New Roman"/>
          <w:color w:val="000000" w:themeColor="text1"/>
          <w:sz w:val="28"/>
          <w:szCs w:val="28"/>
        </w:rPr>
        <w:t>раздела 1 заполняются следующим образом:</w:t>
      </w:r>
    </w:p>
    <w:p w14:paraId="41B815E6" w14:textId="39F5A113" w:rsidR="00B8547E" w:rsidRDefault="00B8547E" w:rsidP="00B8547E">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lang w:eastAsia="ru-RU"/>
        </w:rPr>
      </w:pPr>
      <w:r w:rsidRPr="007B438D">
        <w:rPr>
          <w:rFonts w:ascii="Times New Roman" w:eastAsia="Calibri" w:hAnsi="Times New Roman"/>
          <w:color w:val="000000" w:themeColor="text1"/>
          <w:sz w:val="28"/>
          <w:szCs w:val="28"/>
          <w:lang w:eastAsia="ru-RU"/>
        </w:rPr>
        <w:t>в составе показателей граф</w:t>
      </w:r>
      <w:r w:rsidR="00F60563">
        <w:rPr>
          <w:rFonts w:ascii="Times New Roman" w:eastAsia="Calibri" w:hAnsi="Times New Roman"/>
          <w:color w:val="000000" w:themeColor="text1"/>
          <w:sz w:val="28"/>
          <w:szCs w:val="28"/>
          <w:lang w:eastAsia="ru-RU"/>
        </w:rPr>
        <w:t>ы</w:t>
      </w:r>
      <w:r w:rsidRPr="007B438D">
        <w:rPr>
          <w:rFonts w:ascii="Times New Roman" w:eastAsia="Calibri" w:hAnsi="Times New Roman"/>
          <w:color w:val="000000" w:themeColor="text1"/>
          <w:sz w:val="28"/>
          <w:szCs w:val="28"/>
          <w:lang w:eastAsia="ru-RU"/>
        </w:rPr>
        <w:t xml:space="preserve"> </w:t>
      </w:r>
      <w:r w:rsidR="00F60563">
        <w:rPr>
          <w:rFonts w:ascii="Times New Roman" w:eastAsia="Calibri" w:hAnsi="Times New Roman"/>
          <w:color w:val="000000" w:themeColor="text1"/>
          <w:sz w:val="28"/>
          <w:szCs w:val="28"/>
          <w:lang w:eastAsia="ru-RU"/>
        </w:rPr>
        <w:t>«</w:t>
      </w:r>
      <w:r w:rsidR="00F60563" w:rsidRPr="00F60563">
        <w:rPr>
          <w:rFonts w:ascii="Times New Roman" w:eastAsia="Calibri" w:hAnsi="Times New Roman"/>
          <w:color w:val="000000" w:themeColor="text1"/>
          <w:sz w:val="28"/>
          <w:szCs w:val="28"/>
          <w:lang w:eastAsia="ru-RU"/>
        </w:rPr>
        <w:t>в том числе метод расчета стоимости портфеля (по типу актива): сумма начальной маржи по базовому методу</w:t>
      </w:r>
      <w:r w:rsidR="00F60563">
        <w:rPr>
          <w:rFonts w:ascii="Times New Roman" w:eastAsia="Calibri" w:hAnsi="Times New Roman"/>
          <w:color w:val="000000" w:themeColor="text1"/>
          <w:sz w:val="28"/>
          <w:szCs w:val="28"/>
          <w:lang w:eastAsia="ru-RU"/>
        </w:rPr>
        <w:t xml:space="preserve">» </w:t>
      </w:r>
      <w:r w:rsidRPr="007B438D">
        <w:rPr>
          <w:rFonts w:ascii="Times New Roman" w:eastAsia="Calibri" w:hAnsi="Times New Roman"/>
          <w:color w:val="000000" w:themeColor="text1"/>
          <w:sz w:val="28"/>
          <w:szCs w:val="28"/>
          <w:lang w:eastAsia="ru-RU"/>
        </w:rPr>
        <w:t>раздела 1 указывается итоговая сумма начальной маржи по каждому зависимому множеству;</w:t>
      </w:r>
    </w:p>
    <w:p w14:paraId="3AF83560" w14:textId="5FF7F60C" w:rsidR="00B8547E" w:rsidRDefault="00B8547E" w:rsidP="00B8547E">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lang w:eastAsia="ru-RU"/>
        </w:rPr>
      </w:pPr>
      <w:r w:rsidRPr="007B438D">
        <w:rPr>
          <w:rFonts w:ascii="Times New Roman" w:eastAsia="Calibri" w:hAnsi="Times New Roman"/>
          <w:color w:val="000000" w:themeColor="text1"/>
          <w:sz w:val="28"/>
          <w:szCs w:val="28"/>
          <w:lang w:eastAsia="ru-RU"/>
        </w:rPr>
        <w:t>классификация по граф</w:t>
      </w:r>
      <w:r w:rsidR="00F60563">
        <w:rPr>
          <w:rFonts w:ascii="Times New Roman" w:eastAsia="Calibri" w:hAnsi="Times New Roman"/>
          <w:color w:val="000000" w:themeColor="text1"/>
          <w:sz w:val="28"/>
          <w:szCs w:val="28"/>
          <w:lang w:eastAsia="ru-RU"/>
        </w:rPr>
        <w:t>е</w:t>
      </w:r>
      <w:r w:rsidRPr="007B438D">
        <w:rPr>
          <w:rFonts w:ascii="Times New Roman" w:eastAsia="Calibri" w:hAnsi="Times New Roman"/>
          <w:color w:val="000000" w:themeColor="text1"/>
          <w:sz w:val="28"/>
          <w:szCs w:val="28"/>
          <w:lang w:eastAsia="ru-RU"/>
        </w:rPr>
        <w:t xml:space="preserve"> </w:t>
      </w:r>
      <w:r w:rsidR="00F60563">
        <w:rPr>
          <w:rFonts w:ascii="Times New Roman" w:eastAsia="Calibri" w:hAnsi="Times New Roman"/>
          <w:color w:val="000000" w:themeColor="text1"/>
          <w:sz w:val="28"/>
          <w:szCs w:val="28"/>
          <w:lang w:eastAsia="ru-RU"/>
        </w:rPr>
        <w:t>«</w:t>
      </w:r>
      <w:r w:rsidR="00F60563" w:rsidRPr="00F60563">
        <w:rPr>
          <w:rFonts w:ascii="Times New Roman" w:eastAsia="Calibri" w:hAnsi="Times New Roman"/>
          <w:color w:val="000000" w:themeColor="text1"/>
          <w:sz w:val="28"/>
          <w:szCs w:val="28"/>
          <w:lang w:eastAsia="ru-RU"/>
        </w:rPr>
        <w:t>в том числе метод расчета стоимости портфеля (по типу актива): сумма начальной маржи по базовому методу</w:t>
      </w:r>
      <w:r w:rsidR="00F60563">
        <w:rPr>
          <w:rFonts w:ascii="Times New Roman" w:eastAsia="Calibri" w:hAnsi="Times New Roman"/>
          <w:color w:val="000000" w:themeColor="text1"/>
          <w:sz w:val="28"/>
          <w:szCs w:val="28"/>
          <w:lang w:eastAsia="ru-RU"/>
        </w:rPr>
        <w:t xml:space="preserve">» </w:t>
      </w:r>
      <w:r w:rsidRPr="007B438D">
        <w:rPr>
          <w:rFonts w:ascii="Times New Roman" w:eastAsia="Calibri" w:hAnsi="Times New Roman"/>
          <w:color w:val="000000" w:themeColor="text1"/>
          <w:sz w:val="28"/>
          <w:szCs w:val="28"/>
          <w:lang w:eastAsia="ru-RU"/>
        </w:rPr>
        <w:t>раздела 1 производится на основании базового индикатора соответствующего множества.</w:t>
      </w:r>
    </w:p>
    <w:p w14:paraId="6BE5AC5C" w14:textId="3915900D" w:rsidR="005E07F9" w:rsidRDefault="005E07F9" w:rsidP="00B8547E">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lang w:eastAsia="ru-RU"/>
        </w:rPr>
      </w:pPr>
    </w:p>
    <w:p w14:paraId="0B44039D" w14:textId="2734452C" w:rsidR="005E07F9" w:rsidRDefault="005E07F9" w:rsidP="00B8547E">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Глава 3. Составление раздела 2 Отчета</w:t>
      </w:r>
    </w:p>
    <w:p w14:paraId="1B4E6814" w14:textId="77777777" w:rsidR="00BB76F5" w:rsidRDefault="00BB76F5" w:rsidP="00B8547E">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rPr>
      </w:pPr>
    </w:p>
    <w:p w14:paraId="53A2DF0A" w14:textId="5E67C0EE" w:rsidR="005E07F9" w:rsidRPr="00334760" w:rsidRDefault="00334760" w:rsidP="00334760">
      <w:pPr>
        <w:pStyle w:val="a3"/>
        <w:numPr>
          <w:ilvl w:val="1"/>
          <w:numId w:val="9"/>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7B438D">
        <w:rPr>
          <w:rFonts w:ascii="Times New Roman" w:eastAsia="Calibri" w:hAnsi="Times New Roman"/>
          <w:color w:val="000000" w:themeColor="text1"/>
          <w:sz w:val="28"/>
          <w:szCs w:val="28"/>
        </w:rPr>
        <w:t xml:space="preserve">Значения показателей раздела 2 Отчета (далее – раздел 2) отражаются по состоянию на конец каждого определяемого в соответствии с абзацем первым пункта 1.11 Положения Банка России от 17 октября 2014 года </w:t>
      </w:r>
      <w:r w:rsidRPr="007B438D">
        <w:rPr>
          <w:rFonts w:ascii="Times New Roman" w:eastAsia="Calibri" w:hAnsi="Times New Roman"/>
          <w:color w:val="000000" w:themeColor="text1"/>
          <w:sz w:val="28"/>
          <w:szCs w:val="28"/>
        </w:rPr>
        <w:br/>
        <w:t>№ 437-П «О деятельности по проведению организованных торгов»</w:t>
      </w:r>
      <w:r w:rsidRPr="007B438D">
        <w:rPr>
          <w:rStyle w:val="a6"/>
          <w:rFonts w:ascii="Times New Roman" w:eastAsia="Calibri" w:hAnsi="Times New Roman"/>
          <w:color w:val="000000" w:themeColor="text1"/>
          <w:sz w:val="28"/>
          <w:szCs w:val="28"/>
        </w:rPr>
        <w:footnoteReference w:id="4"/>
      </w:r>
      <w:r w:rsidRPr="007B438D">
        <w:rPr>
          <w:rFonts w:ascii="Times New Roman" w:eastAsia="Calibri" w:hAnsi="Times New Roman"/>
          <w:color w:val="000000" w:themeColor="text1"/>
          <w:sz w:val="28"/>
          <w:szCs w:val="28"/>
          <w:vertAlign w:val="superscript"/>
        </w:rPr>
        <w:t xml:space="preserve"> </w:t>
      </w:r>
      <w:r w:rsidRPr="007B438D">
        <w:rPr>
          <w:rFonts w:ascii="Times New Roman" w:eastAsia="Calibri" w:hAnsi="Times New Roman"/>
          <w:color w:val="000000" w:themeColor="text1"/>
          <w:sz w:val="28"/>
          <w:szCs w:val="28"/>
        </w:rPr>
        <w:t xml:space="preserve">торгового дня (далее – торговый день) отчетного периода и (или) по состоянию на время </w:t>
      </w:r>
      <w:r w:rsidRPr="007B438D">
        <w:rPr>
          <w:rFonts w:ascii="Times New Roman" w:eastAsia="Calibri" w:hAnsi="Times New Roman"/>
          <w:color w:val="000000" w:themeColor="text1"/>
          <w:sz w:val="28"/>
          <w:szCs w:val="28"/>
        </w:rPr>
        <w:lastRenderedPageBreak/>
        <w:t>торгового дня, до которого снижение значения НПР2 ниже нуля влечет закрытие позиций клиента в течение этого торгового дня (далее – ограничительное время закрытия позиций), в случае наличия портфелей клиентов, одновременно удовлетворяющих следующим условиям:</w:t>
      </w:r>
    </w:p>
    <w:p w14:paraId="6068A397" w14:textId="77777777" w:rsidR="00334760" w:rsidRPr="007B438D" w:rsidRDefault="00334760" w:rsidP="00334760">
      <w:pPr>
        <w:tabs>
          <w:tab w:val="left" w:pos="851"/>
          <w:tab w:val="left" w:pos="993"/>
          <w:tab w:val="left" w:pos="1134"/>
          <w:tab w:val="left" w:pos="1418"/>
          <w:tab w:val="left" w:pos="1701"/>
        </w:tabs>
        <w:spacing w:after="0" w:line="360" w:lineRule="auto"/>
        <w:ind w:firstLine="709"/>
        <w:contextualSpacing/>
        <w:jc w:val="both"/>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сумма начальной маржи, рассчитанная по портфелю клиента, не равна нулю;</w:t>
      </w:r>
    </w:p>
    <w:p w14:paraId="2958B7C4" w14:textId="77777777" w:rsidR="00334760" w:rsidRPr="007B438D" w:rsidRDefault="00334760" w:rsidP="00334760">
      <w:pPr>
        <w:tabs>
          <w:tab w:val="left" w:pos="851"/>
          <w:tab w:val="left" w:pos="993"/>
          <w:tab w:val="left" w:pos="1134"/>
          <w:tab w:val="left" w:pos="1418"/>
          <w:tab w:val="left" w:pos="1701"/>
        </w:tabs>
        <w:spacing w:after="0" w:line="360" w:lineRule="auto"/>
        <w:ind w:firstLine="709"/>
        <w:contextualSpacing/>
        <w:jc w:val="both"/>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сумма НПР2 портфеля клиента была меньше нуля по состоянию на ограничительное время закрытия позиций и (или) по состоянию на конец любого торгового дня отчетного периода;</w:t>
      </w:r>
    </w:p>
    <w:p w14:paraId="4D614C18" w14:textId="33202854" w:rsidR="00334760" w:rsidRDefault="00334760" w:rsidP="00334760">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в отношении портфеля клиента не соблюдены требования по закрытию позиции клиента в сроки, установленные пунктом 18 Указания Банка России № 6681-У.</w:t>
      </w:r>
    </w:p>
    <w:p w14:paraId="73B7F488" w14:textId="32021377" w:rsidR="00334760" w:rsidRDefault="00334760" w:rsidP="00334760">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Для целей заполнения Отчета закрытием позиции являются сделки, совершенные кредитной организацией – брокером в рамках мер по снижению размера минимальной маржи, рассчитанного в соответствии с пунктом 18 приложения к Указанию Банка России № 6681-У, и (или) по увеличению стоимости портфеля клиента в соответствии с требованиями пункта 15 Указания Банка России № 6681-У, и (или) заключенным с клиентом договором о брокерском обслуживании, и (или) внутренним регламентом кредитной организации – брокера (далее – сделки принудительного закрытия).</w:t>
      </w:r>
    </w:p>
    <w:p w14:paraId="5BCF114A" w14:textId="6C5DC6F2" w:rsidR="00BB76F5" w:rsidRDefault="00BB76F5" w:rsidP="00334760">
      <w:pPr>
        <w:pStyle w:val="a3"/>
        <w:numPr>
          <w:ilvl w:val="1"/>
          <w:numId w:val="9"/>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BB76F5">
        <w:rPr>
          <w:rFonts w:ascii="Times New Roman" w:hAnsi="Times New Roman"/>
          <w:sz w:val="28"/>
          <w:szCs w:val="28"/>
          <w:lang w:eastAsia="ru-RU"/>
        </w:rPr>
        <w:t xml:space="preserve">Информация по показателям раздела 2 </w:t>
      </w:r>
      <w:r>
        <w:rPr>
          <w:rFonts w:ascii="Times New Roman" w:hAnsi="Times New Roman"/>
          <w:sz w:val="28"/>
          <w:szCs w:val="28"/>
          <w:lang w:eastAsia="ru-RU"/>
        </w:rPr>
        <w:t>Отчета</w:t>
      </w:r>
      <w:r w:rsidRPr="00BB76F5">
        <w:rPr>
          <w:rFonts w:ascii="Times New Roman" w:hAnsi="Times New Roman"/>
          <w:sz w:val="28"/>
          <w:szCs w:val="28"/>
          <w:lang w:eastAsia="ru-RU"/>
        </w:rPr>
        <w:t xml:space="preserve"> раскрывается в разрезе следующих</w:t>
      </w:r>
      <w:r>
        <w:rPr>
          <w:rFonts w:ascii="Times New Roman" w:hAnsi="Times New Roman"/>
          <w:sz w:val="28"/>
          <w:szCs w:val="28"/>
          <w:lang w:eastAsia="ru-RU"/>
        </w:rPr>
        <w:t xml:space="preserve"> граф.</w:t>
      </w:r>
    </w:p>
    <w:p w14:paraId="64A61B30" w14:textId="1E01AA5C" w:rsidR="00BB76F5" w:rsidRPr="00E412C2" w:rsidRDefault="00846814" w:rsidP="00E412C2">
      <w:pPr>
        <w:pStyle w:val="a3"/>
        <w:numPr>
          <w:ilvl w:val="2"/>
          <w:numId w:val="9"/>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Pr>
          <w:rFonts w:ascii="Times New Roman" w:hAnsi="Times New Roman"/>
          <w:sz w:val="28"/>
          <w:szCs w:val="28"/>
        </w:rPr>
        <w:t>В графах</w:t>
      </w:r>
      <w:r w:rsidR="00E412C2">
        <w:rPr>
          <w:rFonts w:ascii="Times New Roman" w:hAnsi="Times New Roman"/>
          <w:sz w:val="28"/>
          <w:szCs w:val="28"/>
        </w:rPr>
        <w:t xml:space="preserve"> </w:t>
      </w:r>
      <w:r w:rsidR="00E412C2">
        <w:rPr>
          <w:rFonts w:ascii="Times New Roman" w:eastAsia="Calibri" w:hAnsi="Times New Roman"/>
          <w:color w:val="000000" w:themeColor="text1"/>
          <w:sz w:val="28"/>
          <w:szCs w:val="28"/>
        </w:rPr>
        <w:t>«</w:t>
      </w:r>
      <w:r w:rsidR="00E412C2" w:rsidRPr="00334760">
        <w:rPr>
          <w:rFonts w:ascii="Times New Roman" w:eastAsia="Calibri" w:hAnsi="Times New Roman"/>
          <w:color w:val="000000" w:themeColor="text1"/>
          <w:sz w:val="28"/>
          <w:szCs w:val="28"/>
        </w:rPr>
        <w:t>Тип клиента</w:t>
      </w:r>
      <w:r w:rsidR="00E412C2">
        <w:rPr>
          <w:rFonts w:ascii="Times New Roman" w:eastAsia="Calibri" w:hAnsi="Times New Roman"/>
          <w:color w:val="000000" w:themeColor="text1"/>
          <w:sz w:val="28"/>
          <w:szCs w:val="28"/>
        </w:rPr>
        <w:t>», «</w:t>
      </w:r>
      <w:r w:rsidR="00E412C2" w:rsidRPr="00334760">
        <w:rPr>
          <w:rFonts w:ascii="Times New Roman" w:eastAsia="Calibri" w:hAnsi="Times New Roman"/>
          <w:color w:val="000000" w:themeColor="text1"/>
          <w:sz w:val="28"/>
          <w:szCs w:val="28"/>
        </w:rPr>
        <w:t>Резидентский статус</w:t>
      </w:r>
      <w:r w:rsidR="00E412C2">
        <w:rPr>
          <w:rFonts w:ascii="Times New Roman" w:eastAsia="Calibri" w:hAnsi="Times New Roman"/>
          <w:color w:val="000000" w:themeColor="text1"/>
          <w:sz w:val="28"/>
          <w:szCs w:val="28"/>
        </w:rPr>
        <w:t>», «</w:t>
      </w:r>
      <w:r w:rsidR="00E412C2" w:rsidRPr="00334760">
        <w:rPr>
          <w:rFonts w:ascii="Times New Roman" w:eastAsia="Calibri" w:hAnsi="Times New Roman"/>
          <w:color w:val="000000" w:themeColor="text1"/>
          <w:sz w:val="28"/>
          <w:szCs w:val="28"/>
        </w:rPr>
        <w:t>Уровень риска</w:t>
      </w:r>
      <w:r w:rsidR="00E412C2">
        <w:rPr>
          <w:rFonts w:ascii="Times New Roman" w:eastAsia="Calibri" w:hAnsi="Times New Roman"/>
          <w:color w:val="000000" w:themeColor="text1"/>
          <w:sz w:val="28"/>
          <w:szCs w:val="28"/>
        </w:rPr>
        <w:t>», «</w:t>
      </w:r>
      <w:r w:rsidR="00E412C2" w:rsidRPr="00334760">
        <w:rPr>
          <w:rFonts w:ascii="Times New Roman" w:eastAsia="Calibri" w:hAnsi="Times New Roman"/>
          <w:color w:val="000000" w:themeColor="text1"/>
          <w:sz w:val="28"/>
          <w:szCs w:val="28"/>
        </w:rPr>
        <w:t>Квалификация инвестора</w:t>
      </w:r>
      <w:r w:rsidR="00E412C2">
        <w:rPr>
          <w:rFonts w:ascii="Times New Roman" w:eastAsia="Calibri" w:hAnsi="Times New Roman"/>
          <w:color w:val="000000" w:themeColor="text1"/>
          <w:sz w:val="28"/>
          <w:szCs w:val="28"/>
        </w:rPr>
        <w:t>» в соответствии с подпунктами 2.2.1 – 2.2.4 пункта 2.2 настоящего Порядка.</w:t>
      </w:r>
    </w:p>
    <w:p w14:paraId="0A562D7A" w14:textId="7E67A8A9" w:rsidR="00E412C2" w:rsidRPr="00BB76F5" w:rsidRDefault="00846814" w:rsidP="00E412C2">
      <w:pPr>
        <w:pStyle w:val="a3"/>
        <w:numPr>
          <w:ilvl w:val="2"/>
          <w:numId w:val="9"/>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Pr>
          <w:rFonts w:ascii="Times New Roman" w:hAnsi="Times New Roman"/>
          <w:sz w:val="28"/>
          <w:szCs w:val="28"/>
        </w:rPr>
        <w:t>В</w:t>
      </w:r>
      <w:r w:rsidR="00E412C2">
        <w:rPr>
          <w:rFonts w:ascii="Times New Roman" w:hAnsi="Times New Roman"/>
          <w:sz w:val="28"/>
          <w:szCs w:val="28"/>
        </w:rPr>
        <w:t xml:space="preserve"> </w:t>
      </w:r>
      <w:r w:rsidR="00E412C2" w:rsidRPr="007B438D">
        <w:rPr>
          <w:rFonts w:ascii="Times New Roman" w:eastAsia="Calibri" w:hAnsi="Times New Roman"/>
          <w:color w:val="000000" w:themeColor="text1"/>
          <w:sz w:val="28"/>
          <w:szCs w:val="28"/>
        </w:rPr>
        <w:t>графе</w:t>
      </w:r>
      <w:r w:rsidR="00E412C2">
        <w:rPr>
          <w:rFonts w:ascii="Times New Roman" w:eastAsia="Calibri" w:hAnsi="Times New Roman"/>
          <w:color w:val="000000" w:themeColor="text1"/>
          <w:sz w:val="28"/>
          <w:szCs w:val="28"/>
        </w:rPr>
        <w:t xml:space="preserve"> «</w:t>
      </w:r>
      <w:r w:rsidR="00E412C2" w:rsidRPr="00334760">
        <w:rPr>
          <w:rFonts w:ascii="Times New Roman" w:eastAsia="Calibri" w:hAnsi="Times New Roman"/>
          <w:color w:val="000000" w:themeColor="text1"/>
          <w:sz w:val="28"/>
          <w:szCs w:val="28"/>
        </w:rPr>
        <w:t>Контрольное время</w:t>
      </w:r>
      <w:r w:rsidR="00E412C2">
        <w:rPr>
          <w:rFonts w:ascii="Times New Roman" w:eastAsia="Calibri" w:hAnsi="Times New Roman"/>
          <w:color w:val="000000" w:themeColor="text1"/>
          <w:sz w:val="28"/>
          <w:szCs w:val="28"/>
        </w:rPr>
        <w:t xml:space="preserve">» </w:t>
      </w:r>
      <w:r w:rsidR="00E412C2" w:rsidRPr="007B438D">
        <w:rPr>
          <w:rFonts w:ascii="Times New Roman" w:eastAsia="Calibri" w:hAnsi="Times New Roman"/>
          <w:color w:val="000000" w:themeColor="text1"/>
          <w:sz w:val="28"/>
          <w:szCs w:val="28"/>
        </w:rPr>
        <w:t>указывается контрольное время, по состоянию на которое представляются показатели</w:t>
      </w:r>
      <w:r w:rsidR="00E412C2">
        <w:rPr>
          <w:rFonts w:ascii="Times New Roman" w:eastAsia="Calibri" w:hAnsi="Times New Roman"/>
          <w:color w:val="000000" w:themeColor="text1"/>
          <w:sz w:val="28"/>
          <w:szCs w:val="28"/>
        </w:rPr>
        <w:t xml:space="preserve"> раздела 2 Отчета. Информация раскрывается в следующих разрезах:</w:t>
      </w:r>
    </w:p>
    <w:p w14:paraId="2844EE41" w14:textId="79E09BB3" w:rsidR="00737A6B" w:rsidRDefault="00737A6B" w:rsidP="00E412C2">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о</w:t>
      </w:r>
      <w:r w:rsidRPr="00737A6B">
        <w:rPr>
          <w:rFonts w:ascii="Times New Roman" w:hAnsi="Times New Roman"/>
          <w:sz w:val="28"/>
          <w:szCs w:val="28"/>
        </w:rPr>
        <w:t>граничительное время</w:t>
      </w:r>
      <w:r>
        <w:rPr>
          <w:rFonts w:ascii="Times New Roman" w:hAnsi="Times New Roman"/>
          <w:sz w:val="28"/>
          <w:szCs w:val="28"/>
        </w:rPr>
        <w:t>;</w:t>
      </w:r>
    </w:p>
    <w:p w14:paraId="38C21664" w14:textId="2098DE56" w:rsidR="00737A6B" w:rsidRDefault="00737A6B" w:rsidP="00E412C2">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к</w:t>
      </w:r>
      <w:r w:rsidRPr="00737A6B">
        <w:rPr>
          <w:rFonts w:ascii="Times New Roman" w:hAnsi="Times New Roman"/>
          <w:sz w:val="28"/>
          <w:szCs w:val="28"/>
        </w:rPr>
        <w:t>онец дня</w:t>
      </w:r>
      <w:r>
        <w:rPr>
          <w:rFonts w:ascii="Times New Roman" w:hAnsi="Times New Roman"/>
          <w:sz w:val="28"/>
          <w:szCs w:val="28"/>
        </w:rPr>
        <w:t>.</w:t>
      </w:r>
    </w:p>
    <w:p w14:paraId="23963B99" w14:textId="4C4EBE29" w:rsidR="00433CF8" w:rsidRPr="00433CF8" w:rsidRDefault="00846814" w:rsidP="009505A9">
      <w:pPr>
        <w:pStyle w:val="a3"/>
        <w:numPr>
          <w:ilvl w:val="2"/>
          <w:numId w:val="9"/>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Pr>
          <w:rFonts w:ascii="Times New Roman" w:hAnsi="Times New Roman"/>
          <w:sz w:val="28"/>
          <w:szCs w:val="28"/>
        </w:rPr>
        <w:lastRenderedPageBreak/>
        <w:t>В</w:t>
      </w:r>
      <w:r w:rsidR="00433CF8">
        <w:rPr>
          <w:rFonts w:ascii="Times New Roman" w:hAnsi="Times New Roman"/>
          <w:sz w:val="28"/>
          <w:szCs w:val="28"/>
        </w:rPr>
        <w:t xml:space="preserve"> </w:t>
      </w:r>
      <w:r w:rsidR="00433CF8" w:rsidRPr="007B438D">
        <w:rPr>
          <w:rFonts w:ascii="Times New Roman" w:eastAsia="Calibri" w:hAnsi="Times New Roman"/>
          <w:color w:val="000000" w:themeColor="text1"/>
          <w:sz w:val="28"/>
          <w:szCs w:val="28"/>
        </w:rPr>
        <w:t>графе</w:t>
      </w:r>
      <w:r w:rsidR="00433CF8">
        <w:rPr>
          <w:rFonts w:ascii="Times New Roman" w:eastAsia="Calibri" w:hAnsi="Times New Roman"/>
          <w:color w:val="000000" w:themeColor="text1"/>
          <w:sz w:val="28"/>
          <w:szCs w:val="28"/>
        </w:rPr>
        <w:t xml:space="preserve"> «</w:t>
      </w:r>
      <w:r w:rsidR="00433CF8" w:rsidRPr="00737A6B">
        <w:rPr>
          <w:rFonts w:ascii="Times New Roman" w:eastAsia="Calibri" w:hAnsi="Times New Roman"/>
          <w:color w:val="000000" w:themeColor="text1"/>
          <w:sz w:val="28"/>
          <w:szCs w:val="28"/>
        </w:rPr>
        <w:t>Группа клиентов по показателю НПР2</w:t>
      </w:r>
      <w:r w:rsidR="00433CF8">
        <w:rPr>
          <w:rFonts w:ascii="Times New Roman" w:eastAsia="Calibri" w:hAnsi="Times New Roman"/>
          <w:color w:val="000000" w:themeColor="text1"/>
          <w:sz w:val="28"/>
          <w:szCs w:val="28"/>
        </w:rPr>
        <w:t>» указывается значение, с</w:t>
      </w:r>
      <w:r w:rsidR="00433CF8" w:rsidRPr="00433CF8">
        <w:rPr>
          <w:rFonts w:ascii="Times New Roman" w:hAnsi="Times New Roman"/>
          <w:sz w:val="28"/>
          <w:szCs w:val="28"/>
          <w:lang w:eastAsia="ru-RU"/>
        </w:rPr>
        <w:t>оответствующее значению НПР2, указанному</w:t>
      </w:r>
      <w:r w:rsidR="00433CF8">
        <w:rPr>
          <w:rFonts w:ascii="Times New Roman" w:hAnsi="Times New Roman"/>
          <w:sz w:val="28"/>
          <w:szCs w:val="28"/>
          <w:lang w:eastAsia="ru-RU"/>
        </w:rPr>
        <w:t xml:space="preserve"> </w:t>
      </w:r>
      <w:r w:rsidR="00433CF8" w:rsidRPr="007B438D">
        <w:rPr>
          <w:rFonts w:ascii="Times New Roman" w:eastAsia="Calibri" w:hAnsi="Times New Roman"/>
          <w:color w:val="000000" w:themeColor="text1"/>
          <w:sz w:val="28"/>
          <w:szCs w:val="28"/>
        </w:rPr>
        <w:t xml:space="preserve">в графе </w:t>
      </w:r>
      <w:r w:rsidR="009505A9">
        <w:rPr>
          <w:rFonts w:ascii="Times New Roman" w:eastAsia="Calibri" w:hAnsi="Times New Roman"/>
          <w:color w:val="000000" w:themeColor="text1"/>
          <w:sz w:val="28"/>
          <w:szCs w:val="28"/>
        </w:rPr>
        <w:t>«</w:t>
      </w:r>
      <w:r w:rsidR="009505A9" w:rsidRPr="009505A9">
        <w:rPr>
          <w:rFonts w:ascii="Times New Roman" w:eastAsia="Calibri" w:hAnsi="Times New Roman"/>
          <w:color w:val="000000" w:themeColor="text1"/>
          <w:sz w:val="28"/>
          <w:szCs w:val="28"/>
        </w:rPr>
        <w:t>Размер НПР2</w:t>
      </w:r>
      <w:r w:rsidR="009505A9">
        <w:rPr>
          <w:rFonts w:ascii="Times New Roman" w:eastAsia="Calibri" w:hAnsi="Times New Roman"/>
          <w:color w:val="000000" w:themeColor="text1"/>
          <w:sz w:val="28"/>
          <w:szCs w:val="28"/>
        </w:rPr>
        <w:t>»</w:t>
      </w:r>
      <w:r w:rsidR="00433CF8" w:rsidRPr="007B438D">
        <w:rPr>
          <w:rFonts w:ascii="Times New Roman" w:eastAsia="Calibri" w:hAnsi="Times New Roman"/>
          <w:color w:val="000000" w:themeColor="text1"/>
          <w:sz w:val="28"/>
          <w:szCs w:val="28"/>
        </w:rPr>
        <w:t xml:space="preserve"> раздела 2</w:t>
      </w:r>
      <w:r w:rsidR="00433CF8">
        <w:rPr>
          <w:rFonts w:ascii="Times New Roman" w:eastAsia="Calibri" w:hAnsi="Times New Roman"/>
          <w:color w:val="000000" w:themeColor="text1"/>
          <w:sz w:val="28"/>
          <w:szCs w:val="28"/>
        </w:rPr>
        <w:t xml:space="preserve"> </w:t>
      </w:r>
      <w:r w:rsidR="00433CF8" w:rsidRPr="00433CF8">
        <w:rPr>
          <w:rFonts w:ascii="Times New Roman" w:hAnsi="Times New Roman"/>
          <w:sz w:val="28"/>
          <w:szCs w:val="28"/>
          <w:lang w:eastAsia="ru-RU"/>
        </w:rPr>
        <w:t>в соответствии со значениями</w:t>
      </w:r>
      <w:r w:rsidR="00433CF8">
        <w:rPr>
          <w:rFonts w:ascii="Times New Roman" w:hAnsi="Times New Roman"/>
          <w:sz w:val="28"/>
          <w:szCs w:val="28"/>
          <w:lang w:eastAsia="ru-RU"/>
        </w:rPr>
        <w:t xml:space="preserve">, </w:t>
      </w:r>
      <w:r w:rsidR="00433CF8" w:rsidRPr="007B438D">
        <w:rPr>
          <w:rFonts w:ascii="Times New Roman" w:eastAsia="Calibri" w:hAnsi="Times New Roman"/>
          <w:color w:val="000000" w:themeColor="text1"/>
          <w:sz w:val="28"/>
          <w:szCs w:val="28"/>
        </w:rPr>
        <w:t>приведенны</w:t>
      </w:r>
      <w:r w:rsidR="00433CF8">
        <w:rPr>
          <w:rFonts w:ascii="Times New Roman" w:eastAsia="Calibri" w:hAnsi="Times New Roman"/>
          <w:color w:val="000000" w:themeColor="text1"/>
          <w:sz w:val="28"/>
          <w:szCs w:val="28"/>
        </w:rPr>
        <w:t>ми</w:t>
      </w:r>
      <w:r w:rsidR="00433CF8" w:rsidRPr="007B438D">
        <w:rPr>
          <w:rFonts w:ascii="Times New Roman" w:eastAsia="Calibri" w:hAnsi="Times New Roman"/>
          <w:color w:val="000000" w:themeColor="text1"/>
          <w:sz w:val="28"/>
          <w:szCs w:val="28"/>
        </w:rPr>
        <w:t xml:space="preserve"> </w:t>
      </w:r>
      <w:r w:rsidR="00433CF8" w:rsidRPr="00433CF8">
        <w:rPr>
          <w:rFonts w:ascii="Times New Roman" w:eastAsia="Calibri" w:hAnsi="Times New Roman"/>
          <w:color w:val="000000" w:themeColor="text1"/>
          <w:sz w:val="28"/>
          <w:szCs w:val="28"/>
        </w:rPr>
        <w:t xml:space="preserve">в абзацах втором-шестом подпункта </w:t>
      </w:r>
      <w:r w:rsidR="00433CF8">
        <w:rPr>
          <w:rFonts w:ascii="Times New Roman" w:eastAsia="Calibri" w:hAnsi="Times New Roman"/>
          <w:color w:val="000000" w:themeColor="text1"/>
          <w:sz w:val="28"/>
          <w:szCs w:val="28"/>
        </w:rPr>
        <w:t>2.2.7 пункта 2.2</w:t>
      </w:r>
      <w:r w:rsidR="00433CF8" w:rsidRPr="007B438D">
        <w:rPr>
          <w:rFonts w:ascii="Times New Roman" w:eastAsia="Calibri" w:hAnsi="Times New Roman"/>
          <w:color w:val="000000" w:themeColor="text1"/>
          <w:sz w:val="28"/>
          <w:szCs w:val="28"/>
        </w:rPr>
        <w:t xml:space="preserve"> настоящего Порядка</w:t>
      </w:r>
      <w:r w:rsidR="00433CF8">
        <w:rPr>
          <w:rFonts w:ascii="Times New Roman" w:eastAsia="Calibri" w:hAnsi="Times New Roman"/>
          <w:color w:val="000000" w:themeColor="text1"/>
          <w:sz w:val="28"/>
          <w:szCs w:val="28"/>
        </w:rPr>
        <w:t>.</w:t>
      </w:r>
    </w:p>
    <w:p w14:paraId="06CAE8F1" w14:textId="785B5FE6" w:rsidR="00433CF8" w:rsidRPr="00433CF8" w:rsidRDefault="00846814" w:rsidP="00433CF8">
      <w:pPr>
        <w:pStyle w:val="a3"/>
        <w:numPr>
          <w:ilvl w:val="2"/>
          <w:numId w:val="9"/>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Pr>
          <w:rFonts w:ascii="Times New Roman" w:eastAsia="Calibri" w:hAnsi="Times New Roman"/>
          <w:color w:val="000000" w:themeColor="text1"/>
          <w:sz w:val="28"/>
          <w:szCs w:val="28"/>
        </w:rPr>
        <w:t>В</w:t>
      </w:r>
      <w:r w:rsidR="00433CF8">
        <w:rPr>
          <w:rFonts w:ascii="Times New Roman" w:eastAsia="Calibri" w:hAnsi="Times New Roman"/>
          <w:color w:val="000000" w:themeColor="text1"/>
          <w:sz w:val="28"/>
          <w:szCs w:val="28"/>
        </w:rPr>
        <w:t xml:space="preserve"> </w:t>
      </w:r>
      <w:r w:rsidR="00433CF8">
        <w:rPr>
          <w:rFonts w:ascii="Times New Roman" w:hAnsi="Times New Roman"/>
          <w:sz w:val="28"/>
          <w:szCs w:val="28"/>
        </w:rPr>
        <w:t>графе «</w:t>
      </w:r>
      <w:r w:rsidR="00433CF8" w:rsidRPr="00312A0C">
        <w:rPr>
          <w:rFonts w:ascii="Times New Roman" w:hAnsi="Times New Roman"/>
          <w:sz w:val="28"/>
          <w:szCs w:val="28"/>
        </w:rPr>
        <w:t>Дата торгового дня отчетного периода</w:t>
      </w:r>
      <w:r w:rsidR="00433CF8">
        <w:rPr>
          <w:rFonts w:ascii="Times New Roman" w:hAnsi="Times New Roman"/>
          <w:sz w:val="28"/>
          <w:szCs w:val="28"/>
        </w:rPr>
        <w:t>»</w:t>
      </w:r>
      <w:r w:rsidR="00A653C2">
        <w:rPr>
          <w:rFonts w:ascii="Times New Roman" w:hAnsi="Times New Roman"/>
          <w:sz w:val="28"/>
          <w:szCs w:val="28"/>
        </w:rPr>
        <w:t xml:space="preserve"> </w:t>
      </w:r>
      <w:r w:rsidR="00A653C2" w:rsidRPr="007B438D">
        <w:rPr>
          <w:rFonts w:ascii="Times New Roman" w:eastAsia="Calibri" w:hAnsi="Times New Roman"/>
          <w:color w:val="000000" w:themeColor="text1"/>
          <w:sz w:val="28"/>
          <w:szCs w:val="28"/>
        </w:rPr>
        <w:t>указываются даты торговых дней отчетного периода, когда кредитной организацией – брокером не соблюдены сроки закрытия портфеля клиента, установленные пунктом 18 Указания Банка России № 6681-У.</w:t>
      </w:r>
    </w:p>
    <w:p w14:paraId="4D9AC3FB" w14:textId="641B40BA" w:rsidR="00312A0C" w:rsidRDefault="00312A0C" w:rsidP="00312A0C">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Информация о каждом факте несоблюдения кредитной организацией – брокером сроков закрытия портфеля клиента указывается в отдельной строке.</w:t>
      </w:r>
    </w:p>
    <w:p w14:paraId="02F26347" w14:textId="77777777" w:rsidR="008020D0" w:rsidRPr="008020D0" w:rsidRDefault="009505A9" w:rsidP="009B3A47">
      <w:pPr>
        <w:pStyle w:val="a3"/>
        <w:numPr>
          <w:ilvl w:val="1"/>
          <w:numId w:val="9"/>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Pr>
          <w:rFonts w:ascii="Times New Roman" w:hAnsi="Times New Roman"/>
          <w:color w:val="000000"/>
          <w:sz w:val="28"/>
          <w:szCs w:val="28"/>
        </w:rPr>
        <w:t>Графа «Количество клиентов» раздела 2 заполня</w:t>
      </w:r>
      <w:r w:rsidR="009B3A47">
        <w:rPr>
          <w:rFonts w:ascii="Times New Roman" w:hAnsi="Times New Roman"/>
          <w:color w:val="000000"/>
          <w:sz w:val="28"/>
          <w:szCs w:val="28"/>
        </w:rPr>
        <w:t>е</w:t>
      </w:r>
      <w:r>
        <w:rPr>
          <w:rFonts w:ascii="Times New Roman" w:hAnsi="Times New Roman"/>
          <w:color w:val="000000"/>
          <w:sz w:val="28"/>
          <w:szCs w:val="28"/>
        </w:rPr>
        <w:t>тся так же, как графа «Количество клиентов» раздела 1. Графа «Количество портфелей клиентов» раздела 2 заполня</w:t>
      </w:r>
      <w:r w:rsidR="009B3A47">
        <w:rPr>
          <w:rFonts w:ascii="Times New Roman" w:hAnsi="Times New Roman"/>
          <w:color w:val="000000"/>
          <w:sz w:val="28"/>
          <w:szCs w:val="28"/>
        </w:rPr>
        <w:t>е</w:t>
      </w:r>
      <w:r>
        <w:rPr>
          <w:rFonts w:ascii="Times New Roman" w:hAnsi="Times New Roman"/>
          <w:color w:val="000000"/>
          <w:sz w:val="28"/>
          <w:szCs w:val="28"/>
        </w:rPr>
        <w:t>тся так же, как графа «Количество портфелей клиентов» раздела 1.</w:t>
      </w:r>
      <w:r w:rsidR="009B3A47">
        <w:rPr>
          <w:rFonts w:ascii="Times New Roman" w:hAnsi="Times New Roman"/>
          <w:color w:val="000000"/>
          <w:sz w:val="28"/>
          <w:szCs w:val="28"/>
        </w:rPr>
        <w:t xml:space="preserve"> </w:t>
      </w:r>
    </w:p>
    <w:p w14:paraId="73343C3A" w14:textId="77777777" w:rsidR="008020D0" w:rsidRDefault="009B3A47" w:rsidP="008020D0">
      <w:pPr>
        <w:tabs>
          <w:tab w:val="left" w:pos="851"/>
          <w:tab w:val="left" w:pos="993"/>
        </w:tabs>
        <w:autoSpaceDE w:val="0"/>
        <w:autoSpaceDN w:val="0"/>
        <w:adjustRightInd w:val="0"/>
        <w:spacing w:after="0" w:line="360" w:lineRule="auto"/>
        <w:ind w:firstLine="709"/>
        <w:jc w:val="both"/>
        <w:outlineLvl w:val="0"/>
        <w:rPr>
          <w:rFonts w:ascii="Times New Roman" w:hAnsi="Times New Roman"/>
          <w:color w:val="000000"/>
          <w:sz w:val="28"/>
          <w:szCs w:val="28"/>
        </w:rPr>
      </w:pPr>
      <w:r w:rsidRPr="008020D0">
        <w:rPr>
          <w:rFonts w:ascii="Times New Roman" w:hAnsi="Times New Roman"/>
          <w:color w:val="000000"/>
          <w:sz w:val="28"/>
          <w:szCs w:val="28"/>
        </w:rPr>
        <w:t xml:space="preserve">Графа «Размер НПР1» раздела 2 заполняется так же, как графа «Размер НПР1» раздела 1. Графа «Размер НПР2» раздела 2 заполняется так же, как графа «Размер НПР2» раздела 1. </w:t>
      </w:r>
    </w:p>
    <w:p w14:paraId="41597D98" w14:textId="77777777" w:rsidR="008C5B65" w:rsidRDefault="009B3A47" w:rsidP="008020D0">
      <w:pPr>
        <w:tabs>
          <w:tab w:val="left" w:pos="851"/>
          <w:tab w:val="left" w:pos="993"/>
        </w:tabs>
        <w:autoSpaceDE w:val="0"/>
        <w:autoSpaceDN w:val="0"/>
        <w:adjustRightInd w:val="0"/>
        <w:spacing w:after="0" w:line="360" w:lineRule="auto"/>
        <w:ind w:firstLine="709"/>
        <w:jc w:val="both"/>
        <w:outlineLvl w:val="0"/>
        <w:rPr>
          <w:rFonts w:ascii="Times New Roman" w:hAnsi="Times New Roman"/>
          <w:color w:val="000000"/>
          <w:sz w:val="28"/>
          <w:szCs w:val="28"/>
        </w:rPr>
      </w:pPr>
      <w:r w:rsidRPr="008020D0">
        <w:rPr>
          <w:rFonts w:ascii="Times New Roman" w:hAnsi="Times New Roman"/>
          <w:color w:val="000000"/>
          <w:sz w:val="28"/>
          <w:szCs w:val="28"/>
        </w:rPr>
        <w:t xml:space="preserve">Графа «Стоимость портфеля, всего» раздела 2 заполняется так же, как графа «Стоимость портфеля, всего» раздела 1. </w:t>
      </w:r>
    </w:p>
    <w:p w14:paraId="67EDB2EE" w14:textId="3DCECB49" w:rsidR="009505A9" w:rsidRPr="008020D0" w:rsidRDefault="009B3A47" w:rsidP="008020D0">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sidRPr="008020D0">
        <w:rPr>
          <w:rFonts w:ascii="Times New Roman" w:hAnsi="Times New Roman"/>
          <w:color w:val="000000"/>
          <w:sz w:val="28"/>
          <w:szCs w:val="28"/>
        </w:rPr>
        <w:t>Графа «Сумма начальной маржи, всего» раздела 2 заполняется так же, как графа «Сумма начальной маржи, всего» раздела 1.</w:t>
      </w:r>
    </w:p>
    <w:p w14:paraId="6A9B89F8" w14:textId="303DC124" w:rsidR="001A3C06" w:rsidRDefault="001A3C06" w:rsidP="001A3C06">
      <w:pPr>
        <w:tabs>
          <w:tab w:val="left" w:pos="851"/>
          <w:tab w:val="left" w:pos="993"/>
        </w:tabs>
        <w:autoSpaceDE w:val="0"/>
        <w:autoSpaceDN w:val="0"/>
        <w:adjustRightInd w:val="0"/>
        <w:spacing w:after="0" w:line="360" w:lineRule="auto"/>
        <w:ind w:left="709"/>
        <w:jc w:val="both"/>
        <w:outlineLvl w:val="0"/>
        <w:rPr>
          <w:rFonts w:ascii="Times New Roman" w:hAnsi="Times New Roman"/>
          <w:sz w:val="28"/>
          <w:szCs w:val="28"/>
        </w:rPr>
      </w:pPr>
    </w:p>
    <w:p w14:paraId="4C275852" w14:textId="27E34210" w:rsidR="001A3C06" w:rsidRDefault="001A3C06" w:rsidP="001A3C06">
      <w:pPr>
        <w:tabs>
          <w:tab w:val="left" w:pos="851"/>
          <w:tab w:val="left" w:pos="993"/>
        </w:tabs>
        <w:autoSpaceDE w:val="0"/>
        <w:autoSpaceDN w:val="0"/>
        <w:adjustRightInd w:val="0"/>
        <w:spacing w:after="0" w:line="360" w:lineRule="auto"/>
        <w:ind w:left="709"/>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Глава 4. Составление раздела 3 Отчета</w:t>
      </w:r>
    </w:p>
    <w:p w14:paraId="546A28F1" w14:textId="5D622226" w:rsidR="001A3C06" w:rsidRDefault="001A3C06" w:rsidP="001A3C06">
      <w:pPr>
        <w:tabs>
          <w:tab w:val="left" w:pos="851"/>
          <w:tab w:val="left" w:pos="993"/>
        </w:tabs>
        <w:autoSpaceDE w:val="0"/>
        <w:autoSpaceDN w:val="0"/>
        <w:adjustRightInd w:val="0"/>
        <w:spacing w:after="0" w:line="360" w:lineRule="auto"/>
        <w:ind w:left="709"/>
        <w:jc w:val="both"/>
        <w:outlineLvl w:val="0"/>
        <w:rPr>
          <w:rFonts w:ascii="Times New Roman" w:eastAsia="Calibri" w:hAnsi="Times New Roman"/>
          <w:color w:val="000000" w:themeColor="text1"/>
          <w:sz w:val="28"/>
          <w:szCs w:val="28"/>
        </w:rPr>
      </w:pPr>
    </w:p>
    <w:p w14:paraId="18C4ECB1" w14:textId="7011EBCA" w:rsidR="001A3C06" w:rsidRPr="001A3C06" w:rsidRDefault="001A3C06" w:rsidP="001A3C06">
      <w:pPr>
        <w:pStyle w:val="a3"/>
        <w:numPr>
          <w:ilvl w:val="1"/>
          <w:numId w:val="11"/>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7B438D">
        <w:rPr>
          <w:rFonts w:ascii="Times New Roman" w:eastAsia="Calibri" w:hAnsi="Times New Roman"/>
          <w:color w:val="000000" w:themeColor="text1"/>
          <w:sz w:val="28"/>
          <w:szCs w:val="28"/>
        </w:rPr>
        <w:t>В разделе 3 Отчета (далее – раздел 3) отражается информация в отношении портфелей клиентов, в составе которых по состоянию на конец торгового дня отчетного периода входила отрицательная плановая позиция по активу, не являющемуся ликвидным имуществом.</w:t>
      </w:r>
    </w:p>
    <w:p w14:paraId="7A8F9EE3" w14:textId="70BAD43F" w:rsidR="001A3C06" w:rsidRDefault="001A3C06" w:rsidP="001A3C06">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 xml:space="preserve">Для целей составления Отчета ликвидным имуществом является ценная бумага, и (или) иностранная валюта, и (или) драгоценный металл, по которым </w:t>
      </w:r>
      <w:r w:rsidRPr="007B438D">
        <w:rPr>
          <w:rFonts w:ascii="Times New Roman" w:eastAsia="Calibri" w:hAnsi="Times New Roman"/>
          <w:color w:val="000000" w:themeColor="text1"/>
          <w:sz w:val="28"/>
          <w:szCs w:val="28"/>
        </w:rPr>
        <w:lastRenderedPageBreak/>
        <w:t>в соответствии с договором о брокерском обслуживании допускается возникновение</w:t>
      </w:r>
      <w:r w:rsidRPr="007B438D">
        <w:rPr>
          <w:rFonts w:ascii="Times New Roman" w:eastAsia="Calibri" w:hAnsi="Times New Roman"/>
          <w:color w:val="000000" w:themeColor="text1"/>
        </w:rPr>
        <w:t xml:space="preserve"> </w:t>
      </w:r>
      <w:r w:rsidRPr="007B438D">
        <w:rPr>
          <w:rFonts w:ascii="Times New Roman" w:eastAsia="Calibri" w:hAnsi="Times New Roman"/>
          <w:color w:val="000000" w:themeColor="text1"/>
          <w:sz w:val="28"/>
          <w:szCs w:val="28"/>
        </w:rPr>
        <w:t>или увеличение в абсолютном выражении отрицательного значения плановой позиции (непокрытой позиции) и (или) по которым положительная плановая позиция не равна нулю.</w:t>
      </w:r>
    </w:p>
    <w:p w14:paraId="1B62BC05" w14:textId="1881B54D" w:rsidR="00451496" w:rsidRDefault="00451496" w:rsidP="006D15F8">
      <w:pPr>
        <w:pStyle w:val="a3"/>
        <w:numPr>
          <w:ilvl w:val="1"/>
          <w:numId w:val="11"/>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451496">
        <w:rPr>
          <w:rFonts w:ascii="Times New Roman" w:hAnsi="Times New Roman"/>
          <w:sz w:val="28"/>
          <w:szCs w:val="28"/>
          <w:lang w:eastAsia="ru-RU"/>
        </w:rPr>
        <w:t xml:space="preserve">Информация по показателям раздела 3 </w:t>
      </w:r>
      <w:r>
        <w:rPr>
          <w:rFonts w:ascii="Times New Roman" w:hAnsi="Times New Roman"/>
          <w:sz w:val="28"/>
          <w:szCs w:val="28"/>
          <w:lang w:eastAsia="ru-RU"/>
        </w:rPr>
        <w:t>О</w:t>
      </w:r>
      <w:r w:rsidRPr="00451496">
        <w:rPr>
          <w:rFonts w:ascii="Times New Roman" w:hAnsi="Times New Roman"/>
          <w:sz w:val="28"/>
          <w:szCs w:val="28"/>
          <w:lang w:eastAsia="ru-RU"/>
        </w:rPr>
        <w:t>тчет</w:t>
      </w:r>
      <w:r>
        <w:rPr>
          <w:rFonts w:ascii="Times New Roman" w:hAnsi="Times New Roman"/>
          <w:sz w:val="28"/>
          <w:szCs w:val="28"/>
          <w:lang w:eastAsia="ru-RU"/>
        </w:rPr>
        <w:t xml:space="preserve">а </w:t>
      </w:r>
      <w:r w:rsidRPr="00451496">
        <w:rPr>
          <w:rFonts w:ascii="Times New Roman" w:hAnsi="Times New Roman"/>
          <w:sz w:val="28"/>
          <w:szCs w:val="28"/>
          <w:lang w:eastAsia="ru-RU"/>
        </w:rPr>
        <w:t>раскрывается в разрезе следующих</w:t>
      </w:r>
      <w:r>
        <w:rPr>
          <w:rFonts w:ascii="Times New Roman" w:hAnsi="Times New Roman"/>
          <w:sz w:val="28"/>
          <w:szCs w:val="28"/>
          <w:lang w:eastAsia="ru-RU"/>
        </w:rPr>
        <w:t xml:space="preserve"> граф.</w:t>
      </w:r>
    </w:p>
    <w:p w14:paraId="43150125" w14:textId="2CED25F0" w:rsidR="00592DE0" w:rsidRPr="00592DE0" w:rsidRDefault="00846814" w:rsidP="00592DE0">
      <w:pPr>
        <w:pStyle w:val="a3"/>
        <w:numPr>
          <w:ilvl w:val="2"/>
          <w:numId w:val="11"/>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Pr>
          <w:rFonts w:ascii="Times New Roman" w:hAnsi="Times New Roman"/>
          <w:sz w:val="28"/>
          <w:szCs w:val="28"/>
        </w:rPr>
        <w:t>В графах</w:t>
      </w:r>
      <w:r w:rsidR="00592DE0">
        <w:rPr>
          <w:rFonts w:ascii="Times New Roman" w:hAnsi="Times New Roman"/>
          <w:sz w:val="28"/>
          <w:szCs w:val="28"/>
        </w:rPr>
        <w:t xml:space="preserve"> </w:t>
      </w:r>
      <w:r w:rsidR="00592DE0">
        <w:rPr>
          <w:rFonts w:ascii="Times New Roman" w:eastAsia="Calibri" w:hAnsi="Times New Roman"/>
          <w:color w:val="000000" w:themeColor="text1"/>
          <w:sz w:val="28"/>
          <w:szCs w:val="28"/>
        </w:rPr>
        <w:t>«</w:t>
      </w:r>
      <w:r w:rsidR="00592DE0" w:rsidRPr="00334760">
        <w:rPr>
          <w:rFonts w:ascii="Times New Roman" w:eastAsia="Calibri" w:hAnsi="Times New Roman"/>
          <w:color w:val="000000" w:themeColor="text1"/>
          <w:sz w:val="28"/>
          <w:szCs w:val="28"/>
        </w:rPr>
        <w:t>Тип клиента</w:t>
      </w:r>
      <w:r w:rsidR="00592DE0">
        <w:rPr>
          <w:rFonts w:ascii="Times New Roman" w:eastAsia="Calibri" w:hAnsi="Times New Roman"/>
          <w:color w:val="000000" w:themeColor="text1"/>
          <w:sz w:val="28"/>
          <w:szCs w:val="28"/>
        </w:rPr>
        <w:t>», «</w:t>
      </w:r>
      <w:r w:rsidR="00592DE0" w:rsidRPr="00334760">
        <w:rPr>
          <w:rFonts w:ascii="Times New Roman" w:eastAsia="Calibri" w:hAnsi="Times New Roman"/>
          <w:color w:val="000000" w:themeColor="text1"/>
          <w:sz w:val="28"/>
          <w:szCs w:val="28"/>
        </w:rPr>
        <w:t>Резидентский статус</w:t>
      </w:r>
      <w:r w:rsidR="00592DE0">
        <w:rPr>
          <w:rFonts w:ascii="Times New Roman" w:eastAsia="Calibri" w:hAnsi="Times New Roman"/>
          <w:color w:val="000000" w:themeColor="text1"/>
          <w:sz w:val="28"/>
          <w:szCs w:val="28"/>
        </w:rPr>
        <w:t>», «</w:t>
      </w:r>
      <w:r w:rsidR="00592DE0" w:rsidRPr="00334760">
        <w:rPr>
          <w:rFonts w:ascii="Times New Roman" w:eastAsia="Calibri" w:hAnsi="Times New Roman"/>
          <w:color w:val="000000" w:themeColor="text1"/>
          <w:sz w:val="28"/>
          <w:szCs w:val="28"/>
        </w:rPr>
        <w:t>Уровень риска</w:t>
      </w:r>
      <w:r w:rsidR="00592DE0">
        <w:rPr>
          <w:rFonts w:ascii="Times New Roman" w:eastAsia="Calibri" w:hAnsi="Times New Roman"/>
          <w:color w:val="000000" w:themeColor="text1"/>
          <w:sz w:val="28"/>
          <w:szCs w:val="28"/>
        </w:rPr>
        <w:t>», «</w:t>
      </w:r>
      <w:r w:rsidR="00592DE0" w:rsidRPr="00334760">
        <w:rPr>
          <w:rFonts w:ascii="Times New Roman" w:eastAsia="Calibri" w:hAnsi="Times New Roman"/>
          <w:color w:val="000000" w:themeColor="text1"/>
          <w:sz w:val="28"/>
          <w:szCs w:val="28"/>
        </w:rPr>
        <w:t>Квалификация инвестора</w:t>
      </w:r>
      <w:r w:rsidR="00592DE0">
        <w:rPr>
          <w:rFonts w:ascii="Times New Roman" w:eastAsia="Calibri" w:hAnsi="Times New Roman"/>
          <w:color w:val="000000" w:themeColor="text1"/>
          <w:sz w:val="28"/>
          <w:szCs w:val="28"/>
        </w:rPr>
        <w:t>», «</w:t>
      </w:r>
      <w:r w:rsidR="00592DE0" w:rsidRPr="007E1182">
        <w:rPr>
          <w:rFonts w:ascii="Times New Roman" w:eastAsia="Calibri" w:hAnsi="Times New Roman"/>
          <w:color w:val="000000" w:themeColor="text1"/>
          <w:sz w:val="28"/>
          <w:szCs w:val="28"/>
        </w:rPr>
        <w:t>Состояние НПР портфеля клиента</w:t>
      </w:r>
      <w:r w:rsidR="00592DE0">
        <w:rPr>
          <w:rFonts w:ascii="Times New Roman" w:eastAsia="Calibri" w:hAnsi="Times New Roman"/>
          <w:color w:val="000000" w:themeColor="text1"/>
          <w:sz w:val="28"/>
          <w:szCs w:val="28"/>
        </w:rPr>
        <w:t>» в соответствии с подпунктами 2.2.1 – 2.2.5 пункта 2.2 настоящего Порядка.</w:t>
      </w:r>
    </w:p>
    <w:p w14:paraId="6D75C1EF" w14:textId="7ECC5A0C" w:rsidR="00592DE0" w:rsidRPr="00592DE0" w:rsidRDefault="00846814" w:rsidP="00592DE0">
      <w:pPr>
        <w:pStyle w:val="a3"/>
        <w:numPr>
          <w:ilvl w:val="2"/>
          <w:numId w:val="11"/>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Pr>
          <w:rFonts w:ascii="Times New Roman" w:hAnsi="Times New Roman"/>
          <w:sz w:val="28"/>
          <w:szCs w:val="28"/>
        </w:rPr>
        <w:t>В</w:t>
      </w:r>
      <w:r w:rsidR="00592DE0">
        <w:rPr>
          <w:rFonts w:ascii="Times New Roman" w:hAnsi="Times New Roman"/>
          <w:sz w:val="28"/>
          <w:szCs w:val="28"/>
        </w:rPr>
        <w:t xml:space="preserve"> </w:t>
      </w:r>
      <w:r w:rsidR="00592DE0">
        <w:rPr>
          <w:rFonts w:ascii="Times New Roman" w:eastAsia="Calibri" w:hAnsi="Times New Roman"/>
          <w:color w:val="000000" w:themeColor="text1"/>
          <w:sz w:val="28"/>
          <w:szCs w:val="28"/>
        </w:rPr>
        <w:t>графе «</w:t>
      </w:r>
      <w:r w:rsidR="00592DE0" w:rsidRPr="006D15F8">
        <w:rPr>
          <w:rFonts w:ascii="Times New Roman" w:eastAsia="Calibri" w:hAnsi="Times New Roman"/>
          <w:color w:val="000000" w:themeColor="text1"/>
          <w:sz w:val="28"/>
          <w:szCs w:val="28"/>
        </w:rPr>
        <w:t>Дата торгового дня отчетного периода</w:t>
      </w:r>
      <w:r w:rsidR="00592DE0">
        <w:rPr>
          <w:rFonts w:ascii="Times New Roman" w:eastAsia="Calibri" w:hAnsi="Times New Roman"/>
          <w:color w:val="000000" w:themeColor="text1"/>
          <w:sz w:val="28"/>
          <w:szCs w:val="28"/>
        </w:rPr>
        <w:t>» в соответствии с подпунктом 3.2.4 пункта 3.2 настоящего Порядка.</w:t>
      </w:r>
    </w:p>
    <w:p w14:paraId="199E9A6F" w14:textId="28761568" w:rsidR="006C45F5" w:rsidRPr="006C45F5" w:rsidRDefault="006C45F5" w:rsidP="006D15F8">
      <w:pPr>
        <w:pStyle w:val="a3"/>
        <w:numPr>
          <w:ilvl w:val="1"/>
          <w:numId w:val="11"/>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Pr>
          <w:rFonts w:ascii="Times New Roman" w:hAnsi="Times New Roman"/>
          <w:color w:val="000000"/>
          <w:sz w:val="28"/>
          <w:szCs w:val="28"/>
        </w:rPr>
        <w:t>Графа «Количество клиентов» раздела 3 заполняется так же, как графа «Количество клиентов» раздела 1. Графа «Количество портфелей клиентов» раздела 3 заполняется так же, как графа «Количество портфелей клиентов» раздела 1.</w:t>
      </w:r>
    </w:p>
    <w:p w14:paraId="552010EB" w14:textId="00288DAB" w:rsidR="006C45F5" w:rsidRDefault="006C45F5" w:rsidP="006C45F5">
      <w:pPr>
        <w:tabs>
          <w:tab w:val="left" w:pos="851"/>
          <w:tab w:val="left" w:pos="993"/>
        </w:tabs>
        <w:autoSpaceDE w:val="0"/>
        <w:autoSpaceDN w:val="0"/>
        <w:adjustRightInd w:val="0"/>
        <w:spacing w:after="0" w:line="360" w:lineRule="auto"/>
        <w:ind w:firstLine="709"/>
        <w:jc w:val="both"/>
        <w:outlineLvl w:val="0"/>
        <w:rPr>
          <w:rFonts w:ascii="Times New Roman" w:hAnsi="Times New Roman"/>
          <w:color w:val="000000"/>
          <w:sz w:val="28"/>
          <w:szCs w:val="28"/>
        </w:rPr>
      </w:pPr>
      <w:r w:rsidRPr="008020D0">
        <w:rPr>
          <w:rFonts w:ascii="Times New Roman" w:hAnsi="Times New Roman"/>
          <w:color w:val="000000"/>
          <w:sz w:val="28"/>
          <w:szCs w:val="28"/>
        </w:rPr>
        <w:t>Графа «Размер НПР1</w:t>
      </w:r>
      <w:r>
        <w:rPr>
          <w:rFonts w:ascii="Times New Roman" w:hAnsi="Times New Roman"/>
          <w:color w:val="000000"/>
          <w:sz w:val="28"/>
          <w:szCs w:val="28"/>
        </w:rPr>
        <w:t>» раздела 3</w:t>
      </w:r>
      <w:r w:rsidRPr="008020D0">
        <w:rPr>
          <w:rFonts w:ascii="Times New Roman" w:hAnsi="Times New Roman"/>
          <w:color w:val="000000"/>
          <w:sz w:val="28"/>
          <w:szCs w:val="28"/>
        </w:rPr>
        <w:t xml:space="preserve"> заполняется так же, как графа «Размер НПР1» раздела 1. Графа «Размер НПР</w:t>
      </w:r>
      <w:r>
        <w:rPr>
          <w:rFonts w:ascii="Times New Roman" w:hAnsi="Times New Roman"/>
          <w:color w:val="000000"/>
          <w:sz w:val="28"/>
          <w:szCs w:val="28"/>
        </w:rPr>
        <w:t>2» раздела 3</w:t>
      </w:r>
      <w:r w:rsidRPr="008020D0">
        <w:rPr>
          <w:rFonts w:ascii="Times New Roman" w:hAnsi="Times New Roman"/>
          <w:color w:val="000000"/>
          <w:sz w:val="28"/>
          <w:szCs w:val="28"/>
        </w:rPr>
        <w:t xml:space="preserve"> заполняется так же, как графа «Размер НПР2» раздела 1</w:t>
      </w:r>
      <w:r>
        <w:rPr>
          <w:rFonts w:ascii="Times New Roman" w:hAnsi="Times New Roman"/>
          <w:color w:val="000000"/>
          <w:sz w:val="28"/>
          <w:szCs w:val="28"/>
        </w:rPr>
        <w:t>.</w:t>
      </w:r>
    </w:p>
    <w:p w14:paraId="2ECF8136" w14:textId="43DA3FF1" w:rsidR="006C45F5" w:rsidRPr="006C45F5" w:rsidRDefault="006C45F5" w:rsidP="006C45F5">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sidRPr="008020D0">
        <w:rPr>
          <w:rFonts w:ascii="Times New Roman" w:hAnsi="Times New Roman"/>
          <w:color w:val="000000"/>
          <w:sz w:val="28"/>
          <w:szCs w:val="28"/>
        </w:rPr>
        <w:t xml:space="preserve">Графа «Стоимость портфеля, всего» раздела </w:t>
      </w:r>
      <w:r>
        <w:rPr>
          <w:rFonts w:ascii="Times New Roman" w:hAnsi="Times New Roman"/>
          <w:color w:val="000000"/>
          <w:sz w:val="28"/>
          <w:szCs w:val="28"/>
        </w:rPr>
        <w:t>3</w:t>
      </w:r>
      <w:r w:rsidRPr="008020D0">
        <w:rPr>
          <w:rFonts w:ascii="Times New Roman" w:hAnsi="Times New Roman"/>
          <w:color w:val="000000"/>
          <w:sz w:val="28"/>
          <w:szCs w:val="28"/>
        </w:rPr>
        <w:t xml:space="preserve"> заполняется так же, как графа «Стоимость портфеля, всего» раздела 1.</w:t>
      </w:r>
    </w:p>
    <w:p w14:paraId="5036E12B" w14:textId="3AD2ECD2" w:rsidR="002F52A2" w:rsidRPr="002F52A2" w:rsidRDefault="00846814" w:rsidP="006D15F8">
      <w:pPr>
        <w:pStyle w:val="a3"/>
        <w:numPr>
          <w:ilvl w:val="1"/>
          <w:numId w:val="11"/>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Pr>
          <w:rFonts w:ascii="Times New Roman" w:eastAsia="Calibri" w:hAnsi="Times New Roman"/>
          <w:color w:val="000000" w:themeColor="text1"/>
          <w:sz w:val="28"/>
          <w:szCs w:val="28"/>
        </w:rPr>
        <w:t>В</w:t>
      </w:r>
      <w:r w:rsidR="002F52A2" w:rsidRPr="007B438D">
        <w:rPr>
          <w:rFonts w:ascii="Times New Roman" w:eastAsia="Calibri" w:hAnsi="Times New Roman"/>
          <w:color w:val="000000" w:themeColor="text1"/>
          <w:sz w:val="28"/>
          <w:szCs w:val="28"/>
        </w:rPr>
        <w:t xml:space="preserve"> граф</w:t>
      </w:r>
      <w:r w:rsidR="006C45F5">
        <w:rPr>
          <w:rFonts w:ascii="Times New Roman" w:eastAsia="Calibri" w:hAnsi="Times New Roman"/>
          <w:color w:val="000000" w:themeColor="text1"/>
          <w:sz w:val="28"/>
          <w:szCs w:val="28"/>
        </w:rPr>
        <w:t>е</w:t>
      </w:r>
      <w:r w:rsidR="002F52A2" w:rsidRPr="007B438D">
        <w:rPr>
          <w:rFonts w:ascii="Times New Roman" w:eastAsia="Calibri" w:hAnsi="Times New Roman"/>
          <w:color w:val="000000" w:themeColor="text1"/>
          <w:sz w:val="28"/>
          <w:szCs w:val="28"/>
        </w:rPr>
        <w:t xml:space="preserve"> </w:t>
      </w:r>
      <w:r w:rsidR="006C45F5">
        <w:rPr>
          <w:rFonts w:ascii="Times New Roman" w:hAnsi="Times New Roman"/>
          <w:sz w:val="28"/>
          <w:szCs w:val="28"/>
        </w:rPr>
        <w:t xml:space="preserve">«Детализация стоимости портфеля в части коротких позиций по активам, не являющимся ликвидным имуществом» </w:t>
      </w:r>
      <w:r w:rsidR="002F52A2" w:rsidRPr="007B438D">
        <w:rPr>
          <w:rFonts w:ascii="Times New Roman" w:eastAsia="Calibri" w:hAnsi="Times New Roman"/>
          <w:color w:val="000000" w:themeColor="text1"/>
          <w:sz w:val="28"/>
          <w:szCs w:val="28"/>
        </w:rPr>
        <w:t>раздела 3 указывается информация о стоимости портфеля клиента в части коротких позици</w:t>
      </w:r>
      <w:r w:rsidR="006C45F5">
        <w:rPr>
          <w:rFonts w:ascii="Times New Roman" w:eastAsia="Calibri" w:hAnsi="Times New Roman"/>
          <w:color w:val="000000" w:themeColor="text1"/>
          <w:sz w:val="28"/>
          <w:szCs w:val="28"/>
        </w:rPr>
        <w:t>й</w:t>
      </w:r>
      <w:r w:rsidR="002F52A2" w:rsidRPr="007B438D">
        <w:rPr>
          <w:rFonts w:ascii="Times New Roman" w:eastAsia="Calibri" w:hAnsi="Times New Roman"/>
          <w:color w:val="000000" w:themeColor="text1"/>
          <w:sz w:val="28"/>
          <w:szCs w:val="28"/>
        </w:rPr>
        <w:t xml:space="preserve"> по активам, не являющимся ликвидным имуществом. Для целей составления Отчета информация раскрывается по типу актива клиента в следующих разрезах:</w:t>
      </w:r>
    </w:p>
    <w:p w14:paraId="24456740" w14:textId="77777777" w:rsidR="002F52A2" w:rsidRPr="007B438D" w:rsidRDefault="002F52A2" w:rsidP="002F52A2">
      <w:pPr>
        <w:tabs>
          <w:tab w:val="left" w:pos="851"/>
          <w:tab w:val="left" w:pos="993"/>
          <w:tab w:val="left" w:pos="1134"/>
          <w:tab w:val="left" w:pos="1843"/>
        </w:tabs>
        <w:spacing w:after="0" w:line="360" w:lineRule="auto"/>
        <w:ind w:firstLine="709"/>
        <w:contextualSpacing/>
        <w:jc w:val="both"/>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иностранная валюта;</w:t>
      </w:r>
    </w:p>
    <w:p w14:paraId="1596D353" w14:textId="77777777" w:rsidR="002F52A2" w:rsidRPr="007B438D" w:rsidRDefault="002F52A2" w:rsidP="002F52A2">
      <w:pPr>
        <w:tabs>
          <w:tab w:val="left" w:pos="851"/>
          <w:tab w:val="left" w:pos="993"/>
          <w:tab w:val="left" w:pos="1134"/>
          <w:tab w:val="left" w:pos="1843"/>
        </w:tabs>
        <w:spacing w:after="0" w:line="360" w:lineRule="auto"/>
        <w:ind w:firstLine="709"/>
        <w:contextualSpacing/>
        <w:jc w:val="both"/>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ценные бумаги;</w:t>
      </w:r>
    </w:p>
    <w:p w14:paraId="24625A46" w14:textId="0BD9385D" w:rsidR="002F52A2" w:rsidRDefault="002F52A2" w:rsidP="002F52A2">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иное (в том числе драгоценные металлы).</w:t>
      </w:r>
    </w:p>
    <w:p w14:paraId="2753F079" w14:textId="14B3B080" w:rsidR="002F52A2" w:rsidRPr="002F52A2" w:rsidRDefault="002F52A2" w:rsidP="006C45F5">
      <w:pPr>
        <w:pStyle w:val="a3"/>
        <w:numPr>
          <w:ilvl w:val="1"/>
          <w:numId w:val="11"/>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7B438D">
        <w:rPr>
          <w:rFonts w:ascii="Times New Roman" w:eastAsia="Calibri" w:hAnsi="Times New Roman"/>
          <w:color w:val="000000" w:themeColor="text1"/>
          <w:sz w:val="28"/>
          <w:szCs w:val="28"/>
        </w:rPr>
        <w:lastRenderedPageBreak/>
        <w:t xml:space="preserve">Графа </w:t>
      </w:r>
      <w:r w:rsidR="006C45F5">
        <w:rPr>
          <w:rFonts w:ascii="Times New Roman" w:eastAsia="Calibri" w:hAnsi="Times New Roman"/>
          <w:color w:val="000000" w:themeColor="text1"/>
          <w:sz w:val="28"/>
          <w:szCs w:val="28"/>
        </w:rPr>
        <w:t>«</w:t>
      </w:r>
      <w:r w:rsidR="006C45F5" w:rsidRPr="006C45F5">
        <w:rPr>
          <w:rFonts w:ascii="Times New Roman" w:eastAsia="Calibri" w:hAnsi="Times New Roman"/>
          <w:color w:val="000000" w:themeColor="text1"/>
          <w:sz w:val="28"/>
          <w:szCs w:val="28"/>
        </w:rPr>
        <w:t>Сумма начальной маржи, всего</w:t>
      </w:r>
      <w:r w:rsidR="006C45F5">
        <w:rPr>
          <w:rFonts w:ascii="Times New Roman" w:eastAsia="Calibri" w:hAnsi="Times New Roman"/>
          <w:color w:val="000000" w:themeColor="text1"/>
          <w:sz w:val="28"/>
          <w:szCs w:val="28"/>
        </w:rPr>
        <w:t>»</w:t>
      </w:r>
      <w:r w:rsidRPr="007B438D">
        <w:rPr>
          <w:rFonts w:ascii="Times New Roman" w:eastAsia="Calibri" w:hAnsi="Times New Roman"/>
          <w:color w:val="000000" w:themeColor="text1"/>
          <w:sz w:val="28"/>
          <w:szCs w:val="28"/>
        </w:rPr>
        <w:t xml:space="preserve"> раздела 3 заполняется так же, как графа </w:t>
      </w:r>
      <w:r w:rsidR="006C45F5">
        <w:rPr>
          <w:rFonts w:ascii="Times New Roman" w:eastAsia="Calibri" w:hAnsi="Times New Roman"/>
          <w:color w:val="000000" w:themeColor="text1"/>
          <w:sz w:val="28"/>
          <w:szCs w:val="28"/>
        </w:rPr>
        <w:t>«</w:t>
      </w:r>
      <w:r w:rsidR="006C45F5" w:rsidRPr="006C45F5">
        <w:rPr>
          <w:rFonts w:ascii="Times New Roman" w:eastAsia="Calibri" w:hAnsi="Times New Roman"/>
          <w:color w:val="000000" w:themeColor="text1"/>
          <w:sz w:val="28"/>
          <w:szCs w:val="28"/>
        </w:rPr>
        <w:t>Сумма начальной маржи, всего</w:t>
      </w:r>
      <w:r w:rsidR="006C45F5">
        <w:rPr>
          <w:rFonts w:ascii="Times New Roman" w:eastAsia="Calibri" w:hAnsi="Times New Roman"/>
          <w:color w:val="000000" w:themeColor="text1"/>
          <w:sz w:val="28"/>
          <w:szCs w:val="28"/>
        </w:rPr>
        <w:t>»</w:t>
      </w:r>
      <w:r w:rsidRPr="007B438D">
        <w:rPr>
          <w:rFonts w:ascii="Times New Roman" w:eastAsia="Calibri" w:hAnsi="Times New Roman"/>
          <w:color w:val="000000" w:themeColor="text1"/>
          <w:sz w:val="28"/>
          <w:szCs w:val="28"/>
        </w:rPr>
        <w:t xml:space="preserve"> раздела 1.</w:t>
      </w:r>
    </w:p>
    <w:p w14:paraId="6F9754F6" w14:textId="68619C35" w:rsidR="002F52A2" w:rsidRDefault="002F52A2" w:rsidP="002F52A2">
      <w:pPr>
        <w:tabs>
          <w:tab w:val="left" w:pos="851"/>
          <w:tab w:val="left" w:pos="993"/>
        </w:tabs>
        <w:autoSpaceDE w:val="0"/>
        <w:autoSpaceDN w:val="0"/>
        <w:adjustRightInd w:val="0"/>
        <w:spacing w:after="0" w:line="360" w:lineRule="auto"/>
        <w:ind w:left="709"/>
        <w:jc w:val="both"/>
        <w:outlineLvl w:val="0"/>
        <w:rPr>
          <w:rFonts w:ascii="Times New Roman" w:hAnsi="Times New Roman"/>
          <w:sz w:val="28"/>
          <w:szCs w:val="28"/>
        </w:rPr>
      </w:pPr>
    </w:p>
    <w:p w14:paraId="03B278E5" w14:textId="3B506508" w:rsidR="002F52A2" w:rsidRDefault="002F52A2" w:rsidP="002F52A2">
      <w:pPr>
        <w:tabs>
          <w:tab w:val="left" w:pos="851"/>
          <w:tab w:val="left" w:pos="993"/>
        </w:tabs>
        <w:autoSpaceDE w:val="0"/>
        <w:autoSpaceDN w:val="0"/>
        <w:adjustRightInd w:val="0"/>
        <w:spacing w:after="0" w:line="360" w:lineRule="auto"/>
        <w:ind w:left="709"/>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Глава 5. Составление раздела 4 Отчета</w:t>
      </w:r>
    </w:p>
    <w:p w14:paraId="1640C7A4" w14:textId="58047D5B" w:rsidR="002F52A2" w:rsidRDefault="002F52A2" w:rsidP="002F52A2">
      <w:pPr>
        <w:tabs>
          <w:tab w:val="left" w:pos="851"/>
          <w:tab w:val="left" w:pos="993"/>
        </w:tabs>
        <w:autoSpaceDE w:val="0"/>
        <w:autoSpaceDN w:val="0"/>
        <w:adjustRightInd w:val="0"/>
        <w:spacing w:after="0" w:line="360" w:lineRule="auto"/>
        <w:ind w:left="709"/>
        <w:jc w:val="both"/>
        <w:outlineLvl w:val="0"/>
        <w:rPr>
          <w:rFonts w:ascii="Times New Roman" w:eastAsia="Calibri" w:hAnsi="Times New Roman"/>
          <w:color w:val="000000" w:themeColor="text1"/>
          <w:sz w:val="28"/>
          <w:szCs w:val="28"/>
        </w:rPr>
      </w:pPr>
    </w:p>
    <w:p w14:paraId="3F49E021" w14:textId="7134EC0D" w:rsidR="002F52A2" w:rsidRPr="00362F34" w:rsidRDefault="00362F34" w:rsidP="00362F34">
      <w:pPr>
        <w:pStyle w:val="a3"/>
        <w:numPr>
          <w:ilvl w:val="1"/>
          <w:numId w:val="13"/>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7B438D">
        <w:rPr>
          <w:rFonts w:ascii="Times New Roman" w:eastAsia="Calibri" w:hAnsi="Times New Roman"/>
          <w:color w:val="000000" w:themeColor="text1"/>
          <w:sz w:val="28"/>
          <w:szCs w:val="28"/>
        </w:rPr>
        <w:t>В разделе 4 Отчета (далее – раздел 4) отражается информация в отношении портфелей клиентов, которые одновременно удовлетворяют следующим условиям:</w:t>
      </w:r>
    </w:p>
    <w:p w14:paraId="1EFE1947" w14:textId="77777777" w:rsidR="00362F34" w:rsidRPr="007B438D" w:rsidRDefault="00362F34" w:rsidP="00362F34">
      <w:pPr>
        <w:tabs>
          <w:tab w:val="left" w:pos="851"/>
          <w:tab w:val="left" w:pos="993"/>
          <w:tab w:val="left" w:pos="1134"/>
          <w:tab w:val="left" w:pos="1843"/>
        </w:tabs>
        <w:spacing w:after="0" w:line="360" w:lineRule="auto"/>
        <w:ind w:firstLine="709"/>
        <w:contextualSpacing/>
        <w:jc w:val="both"/>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портфель клиента отражен в составе раздела 1;</w:t>
      </w:r>
    </w:p>
    <w:p w14:paraId="1650953A" w14:textId="0DE0D3A8" w:rsidR="00362F34" w:rsidRDefault="00362F34" w:rsidP="00362F34">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в составе портфеля клиента есть отрицательная плановая позиция по любому активу клиента, за исключением ПФИ и средств в рублях.</w:t>
      </w:r>
    </w:p>
    <w:p w14:paraId="0524796D" w14:textId="42DB3CF8" w:rsidR="00362F34" w:rsidRPr="00362F34" w:rsidRDefault="00362F34" w:rsidP="00362F34">
      <w:pPr>
        <w:pStyle w:val="a3"/>
        <w:numPr>
          <w:ilvl w:val="1"/>
          <w:numId w:val="13"/>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7B438D">
        <w:rPr>
          <w:rFonts w:ascii="Times New Roman" w:eastAsia="Calibri" w:hAnsi="Times New Roman"/>
          <w:color w:val="000000" w:themeColor="text1"/>
          <w:sz w:val="28"/>
          <w:szCs w:val="28"/>
        </w:rPr>
        <w:t>Значения показателей раздела 4 отражаются по состоянию на конец последнего календарного дня отчетного периода</w:t>
      </w:r>
      <w:r w:rsidRPr="007B438D">
        <w:rPr>
          <w:rFonts w:ascii="Times New Roman" w:eastAsia="Calibri" w:hAnsi="Times New Roman"/>
          <w:color w:val="000000" w:themeColor="text1"/>
        </w:rPr>
        <w:t xml:space="preserve"> </w:t>
      </w:r>
      <w:r w:rsidRPr="007B438D">
        <w:rPr>
          <w:rFonts w:ascii="Times New Roman" w:eastAsia="Calibri" w:hAnsi="Times New Roman"/>
          <w:color w:val="000000" w:themeColor="text1"/>
          <w:sz w:val="28"/>
          <w:szCs w:val="28"/>
        </w:rPr>
        <w:t>в отношении каждого актива, по которому в портфеле клиента есть отрицательная плановая позиция.</w:t>
      </w:r>
    </w:p>
    <w:p w14:paraId="186D8FDC" w14:textId="554E842F" w:rsidR="00435AF9" w:rsidRDefault="00435AF9" w:rsidP="00362F34">
      <w:pPr>
        <w:pStyle w:val="a3"/>
        <w:numPr>
          <w:ilvl w:val="1"/>
          <w:numId w:val="13"/>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435AF9">
        <w:rPr>
          <w:rFonts w:ascii="Times New Roman" w:hAnsi="Times New Roman"/>
          <w:sz w:val="28"/>
          <w:szCs w:val="28"/>
          <w:lang w:eastAsia="ru-RU"/>
        </w:rPr>
        <w:t xml:space="preserve">Информация по показателям раздела 4 </w:t>
      </w:r>
      <w:r>
        <w:rPr>
          <w:rFonts w:ascii="Times New Roman" w:hAnsi="Times New Roman"/>
          <w:sz w:val="28"/>
          <w:szCs w:val="28"/>
          <w:lang w:eastAsia="ru-RU"/>
        </w:rPr>
        <w:t>О</w:t>
      </w:r>
      <w:r w:rsidRPr="00435AF9">
        <w:rPr>
          <w:rFonts w:ascii="Times New Roman" w:hAnsi="Times New Roman"/>
          <w:sz w:val="28"/>
          <w:szCs w:val="28"/>
          <w:lang w:eastAsia="ru-RU"/>
        </w:rPr>
        <w:t>тчет</w:t>
      </w:r>
      <w:r>
        <w:rPr>
          <w:rFonts w:ascii="Times New Roman" w:hAnsi="Times New Roman"/>
          <w:sz w:val="28"/>
          <w:szCs w:val="28"/>
          <w:lang w:eastAsia="ru-RU"/>
        </w:rPr>
        <w:t xml:space="preserve">а </w:t>
      </w:r>
      <w:r w:rsidRPr="00435AF9">
        <w:rPr>
          <w:rFonts w:ascii="Times New Roman" w:hAnsi="Times New Roman"/>
          <w:sz w:val="28"/>
          <w:szCs w:val="28"/>
          <w:lang w:eastAsia="ru-RU"/>
        </w:rPr>
        <w:t>раскрывается в разрезе следующих</w:t>
      </w:r>
      <w:r>
        <w:rPr>
          <w:rFonts w:ascii="Times New Roman" w:hAnsi="Times New Roman"/>
          <w:sz w:val="28"/>
          <w:szCs w:val="28"/>
          <w:lang w:eastAsia="ru-RU"/>
        </w:rPr>
        <w:t xml:space="preserve"> граф.</w:t>
      </w:r>
    </w:p>
    <w:p w14:paraId="4031E6DA" w14:textId="3676D996" w:rsidR="00435AF9" w:rsidRPr="00A57CD6" w:rsidRDefault="00846814" w:rsidP="00A57CD6">
      <w:pPr>
        <w:pStyle w:val="a3"/>
        <w:numPr>
          <w:ilvl w:val="2"/>
          <w:numId w:val="13"/>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Pr>
          <w:rFonts w:ascii="Times New Roman" w:hAnsi="Times New Roman"/>
          <w:sz w:val="28"/>
          <w:szCs w:val="28"/>
        </w:rPr>
        <w:t>В графах</w:t>
      </w:r>
      <w:r w:rsidR="00A57CD6">
        <w:rPr>
          <w:rFonts w:ascii="Times New Roman" w:hAnsi="Times New Roman"/>
          <w:sz w:val="28"/>
          <w:szCs w:val="28"/>
        </w:rPr>
        <w:t xml:space="preserve"> </w:t>
      </w:r>
      <w:r w:rsidR="00A57CD6">
        <w:rPr>
          <w:rFonts w:ascii="Times New Roman" w:eastAsia="Calibri" w:hAnsi="Times New Roman"/>
          <w:color w:val="000000" w:themeColor="text1"/>
          <w:sz w:val="28"/>
          <w:szCs w:val="28"/>
        </w:rPr>
        <w:t>«</w:t>
      </w:r>
      <w:r w:rsidR="00A57CD6" w:rsidRPr="00334760">
        <w:rPr>
          <w:rFonts w:ascii="Times New Roman" w:eastAsia="Calibri" w:hAnsi="Times New Roman"/>
          <w:color w:val="000000" w:themeColor="text1"/>
          <w:sz w:val="28"/>
          <w:szCs w:val="28"/>
        </w:rPr>
        <w:t>Тип клиента</w:t>
      </w:r>
      <w:r w:rsidR="00A57CD6">
        <w:rPr>
          <w:rFonts w:ascii="Times New Roman" w:eastAsia="Calibri" w:hAnsi="Times New Roman"/>
          <w:color w:val="000000" w:themeColor="text1"/>
          <w:sz w:val="28"/>
          <w:szCs w:val="28"/>
        </w:rPr>
        <w:t>», «</w:t>
      </w:r>
      <w:r w:rsidR="00A57CD6" w:rsidRPr="00334760">
        <w:rPr>
          <w:rFonts w:ascii="Times New Roman" w:eastAsia="Calibri" w:hAnsi="Times New Roman"/>
          <w:color w:val="000000" w:themeColor="text1"/>
          <w:sz w:val="28"/>
          <w:szCs w:val="28"/>
        </w:rPr>
        <w:t>Резидентский статус</w:t>
      </w:r>
      <w:r w:rsidR="00A57CD6">
        <w:rPr>
          <w:rFonts w:ascii="Times New Roman" w:eastAsia="Calibri" w:hAnsi="Times New Roman"/>
          <w:color w:val="000000" w:themeColor="text1"/>
          <w:sz w:val="28"/>
          <w:szCs w:val="28"/>
        </w:rPr>
        <w:t>», «</w:t>
      </w:r>
      <w:r w:rsidR="00A57CD6" w:rsidRPr="00334760">
        <w:rPr>
          <w:rFonts w:ascii="Times New Roman" w:eastAsia="Calibri" w:hAnsi="Times New Roman"/>
          <w:color w:val="000000" w:themeColor="text1"/>
          <w:sz w:val="28"/>
          <w:szCs w:val="28"/>
        </w:rPr>
        <w:t>Уровень риска</w:t>
      </w:r>
      <w:r w:rsidR="00A57CD6">
        <w:rPr>
          <w:rFonts w:ascii="Times New Roman" w:eastAsia="Calibri" w:hAnsi="Times New Roman"/>
          <w:color w:val="000000" w:themeColor="text1"/>
          <w:sz w:val="28"/>
          <w:szCs w:val="28"/>
        </w:rPr>
        <w:t>», «</w:t>
      </w:r>
      <w:r w:rsidR="00A57CD6" w:rsidRPr="00334760">
        <w:rPr>
          <w:rFonts w:ascii="Times New Roman" w:eastAsia="Calibri" w:hAnsi="Times New Roman"/>
          <w:color w:val="000000" w:themeColor="text1"/>
          <w:sz w:val="28"/>
          <w:szCs w:val="28"/>
        </w:rPr>
        <w:t>Квалификация инвестора</w:t>
      </w:r>
      <w:r w:rsidR="00A57CD6">
        <w:rPr>
          <w:rFonts w:ascii="Times New Roman" w:eastAsia="Calibri" w:hAnsi="Times New Roman"/>
          <w:color w:val="000000" w:themeColor="text1"/>
          <w:sz w:val="28"/>
          <w:szCs w:val="28"/>
        </w:rPr>
        <w:t>» в соответствии с подпунктами 2.2.1 – 2.2.4 пункта 2.2 настоящего Порядка.</w:t>
      </w:r>
    </w:p>
    <w:p w14:paraId="2B1C94D7" w14:textId="40BDEAAE" w:rsidR="00A57CD6" w:rsidRPr="00435AF9" w:rsidRDefault="00846814" w:rsidP="00A57CD6">
      <w:pPr>
        <w:pStyle w:val="a3"/>
        <w:numPr>
          <w:ilvl w:val="2"/>
          <w:numId w:val="13"/>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Pr>
          <w:rFonts w:ascii="Times New Roman" w:eastAsia="Calibri" w:hAnsi="Times New Roman"/>
          <w:color w:val="000000" w:themeColor="text1"/>
          <w:sz w:val="28"/>
          <w:szCs w:val="28"/>
        </w:rPr>
        <w:t>В</w:t>
      </w:r>
      <w:r w:rsidR="00A57CD6">
        <w:rPr>
          <w:rFonts w:ascii="Times New Roman" w:eastAsia="Calibri" w:hAnsi="Times New Roman"/>
          <w:color w:val="000000" w:themeColor="text1"/>
          <w:sz w:val="28"/>
          <w:szCs w:val="28"/>
        </w:rPr>
        <w:t xml:space="preserve"> </w:t>
      </w:r>
      <w:r w:rsidR="00A57CD6" w:rsidRPr="007B438D">
        <w:rPr>
          <w:rFonts w:ascii="Times New Roman" w:eastAsia="Calibri" w:hAnsi="Times New Roman"/>
          <w:color w:val="000000" w:themeColor="text1"/>
          <w:sz w:val="28"/>
          <w:szCs w:val="28"/>
        </w:rPr>
        <w:t>графе</w:t>
      </w:r>
      <w:r w:rsidR="00A57CD6">
        <w:rPr>
          <w:rFonts w:ascii="Times New Roman" w:eastAsia="Calibri" w:hAnsi="Times New Roman"/>
          <w:color w:val="000000" w:themeColor="text1"/>
          <w:sz w:val="28"/>
          <w:szCs w:val="28"/>
        </w:rPr>
        <w:t xml:space="preserve"> «</w:t>
      </w:r>
      <w:r w:rsidR="00A57CD6" w:rsidRPr="00362F34">
        <w:rPr>
          <w:rFonts w:ascii="Times New Roman" w:eastAsia="Calibri" w:hAnsi="Times New Roman"/>
          <w:color w:val="000000" w:themeColor="text1"/>
          <w:sz w:val="28"/>
          <w:szCs w:val="28"/>
        </w:rPr>
        <w:t>Тип актива</w:t>
      </w:r>
      <w:r w:rsidR="00A57CD6">
        <w:rPr>
          <w:rFonts w:ascii="Times New Roman" w:eastAsia="Calibri" w:hAnsi="Times New Roman"/>
          <w:color w:val="000000" w:themeColor="text1"/>
          <w:sz w:val="28"/>
          <w:szCs w:val="28"/>
        </w:rPr>
        <w:t xml:space="preserve">» </w:t>
      </w:r>
      <w:r w:rsidR="00A57CD6" w:rsidRPr="007B438D">
        <w:rPr>
          <w:rFonts w:ascii="Times New Roman" w:eastAsia="Calibri" w:hAnsi="Times New Roman"/>
          <w:color w:val="000000" w:themeColor="text1"/>
          <w:sz w:val="28"/>
          <w:szCs w:val="28"/>
        </w:rPr>
        <w:t>указывается тип актива клиента, в отношении которого отражается информация</w:t>
      </w:r>
      <w:r w:rsidR="00A57CD6">
        <w:rPr>
          <w:rFonts w:ascii="Times New Roman" w:eastAsia="Calibri" w:hAnsi="Times New Roman"/>
          <w:color w:val="000000" w:themeColor="text1"/>
          <w:sz w:val="28"/>
          <w:szCs w:val="28"/>
        </w:rPr>
        <w:t>. Информация раскрывается в следующих разрезах:</w:t>
      </w:r>
    </w:p>
    <w:p w14:paraId="36155DBE" w14:textId="3FAE9872" w:rsidR="00362F34" w:rsidRDefault="00362F34" w:rsidP="00A57CD6">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и</w:t>
      </w:r>
      <w:r w:rsidRPr="00362F34">
        <w:rPr>
          <w:rFonts w:ascii="Times New Roman" w:hAnsi="Times New Roman"/>
          <w:sz w:val="28"/>
          <w:szCs w:val="28"/>
        </w:rPr>
        <w:t>ностранная валюта</w:t>
      </w:r>
      <w:r>
        <w:rPr>
          <w:rFonts w:ascii="Times New Roman" w:hAnsi="Times New Roman"/>
          <w:sz w:val="28"/>
          <w:szCs w:val="28"/>
        </w:rPr>
        <w:t>;</w:t>
      </w:r>
    </w:p>
    <w:p w14:paraId="281B1679" w14:textId="16A9D432" w:rsidR="00362F34" w:rsidRDefault="00362F34" w:rsidP="00362F34">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ц</w:t>
      </w:r>
      <w:r w:rsidRPr="00362F34">
        <w:rPr>
          <w:rFonts w:ascii="Times New Roman" w:hAnsi="Times New Roman"/>
          <w:sz w:val="28"/>
          <w:szCs w:val="28"/>
        </w:rPr>
        <w:t>енные бумаги</w:t>
      </w:r>
      <w:r>
        <w:rPr>
          <w:rFonts w:ascii="Times New Roman" w:hAnsi="Times New Roman"/>
          <w:sz w:val="28"/>
          <w:szCs w:val="28"/>
        </w:rPr>
        <w:t>;</w:t>
      </w:r>
    </w:p>
    <w:p w14:paraId="0C3E4CDF" w14:textId="17EAE06D" w:rsidR="00362F34" w:rsidRDefault="00362F34" w:rsidP="00362F34">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д</w:t>
      </w:r>
      <w:r w:rsidRPr="00362F34">
        <w:rPr>
          <w:rFonts w:ascii="Times New Roman" w:hAnsi="Times New Roman"/>
          <w:sz w:val="28"/>
          <w:szCs w:val="28"/>
        </w:rPr>
        <w:t>рагоценные металлы</w:t>
      </w:r>
      <w:r>
        <w:rPr>
          <w:rFonts w:ascii="Times New Roman" w:hAnsi="Times New Roman"/>
          <w:sz w:val="28"/>
          <w:szCs w:val="28"/>
        </w:rPr>
        <w:t>;</w:t>
      </w:r>
    </w:p>
    <w:p w14:paraId="28B07DFB" w14:textId="17AA5346" w:rsidR="00362F34" w:rsidRDefault="00362F34" w:rsidP="00362F34">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и</w:t>
      </w:r>
      <w:r w:rsidRPr="00362F34">
        <w:rPr>
          <w:rFonts w:ascii="Times New Roman" w:hAnsi="Times New Roman"/>
          <w:sz w:val="28"/>
          <w:szCs w:val="28"/>
        </w:rPr>
        <w:t>ное</w:t>
      </w:r>
      <w:r>
        <w:rPr>
          <w:rFonts w:ascii="Times New Roman" w:hAnsi="Times New Roman"/>
          <w:sz w:val="28"/>
          <w:szCs w:val="28"/>
        </w:rPr>
        <w:t>.</w:t>
      </w:r>
    </w:p>
    <w:p w14:paraId="7C496204" w14:textId="22F007EC" w:rsidR="00A57CD6" w:rsidRPr="00A57CD6" w:rsidRDefault="00846814" w:rsidP="00A57CD6">
      <w:pPr>
        <w:pStyle w:val="a3"/>
        <w:numPr>
          <w:ilvl w:val="2"/>
          <w:numId w:val="13"/>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Pr>
          <w:rFonts w:ascii="Times New Roman" w:hAnsi="Times New Roman"/>
          <w:sz w:val="28"/>
          <w:szCs w:val="28"/>
        </w:rPr>
        <w:t>В</w:t>
      </w:r>
      <w:r w:rsidR="00A57CD6">
        <w:rPr>
          <w:rFonts w:ascii="Times New Roman" w:hAnsi="Times New Roman"/>
          <w:sz w:val="28"/>
          <w:szCs w:val="28"/>
        </w:rPr>
        <w:t xml:space="preserve"> </w:t>
      </w:r>
      <w:r w:rsidR="00A57CD6" w:rsidRPr="00A57CD6">
        <w:rPr>
          <w:rFonts w:ascii="Times New Roman" w:hAnsi="Times New Roman"/>
          <w:sz w:val="28"/>
          <w:szCs w:val="28"/>
        </w:rPr>
        <w:t>графе «Код актива» указывается код актива, в отношении которого отражается информация</w:t>
      </w:r>
      <w:r w:rsidR="00A57CD6">
        <w:rPr>
          <w:rFonts w:ascii="Times New Roman" w:hAnsi="Times New Roman"/>
          <w:sz w:val="28"/>
          <w:szCs w:val="28"/>
        </w:rPr>
        <w:t xml:space="preserve">, </w:t>
      </w:r>
      <w:r w:rsidR="00A57CD6" w:rsidRPr="00A57CD6">
        <w:rPr>
          <w:rFonts w:ascii="Times New Roman" w:hAnsi="Times New Roman"/>
          <w:sz w:val="28"/>
          <w:szCs w:val="28"/>
          <w:lang w:eastAsia="ru-RU"/>
        </w:rPr>
        <w:t>с учетом следующих требований</w:t>
      </w:r>
      <w:r w:rsidR="00A57CD6">
        <w:rPr>
          <w:rFonts w:ascii="Times New Roman" w:hAnsi="Times New Roman"/>
          <w:sz w:val="28"/>
          <w:szCs w:val="28"/>
        </w:rPr>
        <w:t>:</w:t>
      </w:r>
    </w:p>
    <w:p w14:paraId="70A019BE" w14:textId="52EBF48A" w:rsidR="00362F34" w:rsidRPr="00A57CD6" w:rsidRDefault="00362F34" w:rsidP="00A57CD6">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sidRPr="00A57CD6">
        <w:rPr>
          <w:rFonts w:ascii="Times New Roman" w:hAnsi="Times New Roman"/>
          <w:color w:val="000000" w:themeColor="text1"/>
          <w:sz w:val="28"/>
          <w:szCs w:val="28"/>
        </w:rPr>
        <w:t xml:space="preserve">Для ценных бумаг указывается регистрационный номер выпуска, присвоенный регистрационным органом в стране регистрации их выпуска, и </w:t>
      </w:r>
      <w:r w:rsidRPr="00A57CD6">
        <w:rPr>
          <w:rFonts w:ascii="Times New Roman" w:hAnsi="Times New Roman"/>
          <w:color w:val="000000" w:themeColor="text1"/>
          <w:sz w:val="28"/>
          <w:szCs w:val="28"/>
        </w:rPr>
        <w:lastRenderedPageBreak/>
        <w:t>международный идентификационный код ценной бумаги (</w:t>
      </w:r>
      <w:proofErr w:type="spellStart"/>
      <w:r w:rsidRPr="00A57CD6">
        <w:rPr>
          <w:rFonts w:ascii="Times New Roman" w:hAnsi="Times New Roman"/>
          <w:color w:val="000000" w:themeColor="text1"/>
          <w:sz w:val="28"/>
          <w:szCs w:val="28"/>
        </w:rPr>
        <w:t>International</w:t>
      </w:r>
      <w:proofErr w:type="spellEnd"/>
      <w:r w:rsidRPr="00A57CD6">
        <w:rPr>
          <w:rFonts w:ascii="Times New Roman" w:hAnsi="Times New Roman"/>
          <w:color w:val="000000" w:themeColor="text1"/>
          <w:sz w:val="28"/>
          <w:szCs w:val="28"/>
        </w:rPr>
        <w:t xml:space="preserve"> </w:t>
      </w:r>
      <w:proofErr w:type="spellStart"/>
      <w:r w:rsidRPr="00A57CD6">
        <w:rPr>
          <w:rFonts w:ascii="Times New Roman" w:hAnsi="Times New Roman"/>
          <w:color w:val="000000" w:themeColor="text1"/>
          <w:sz w:val="28"/>
          <w:szCs w:val="28"/>
        </w:rPr>
        <w:t>Security</w:t>
      </w:r>
      <w:proofErr w:type="spellEnd"/>
      <w:r w:rsidRPr="00A57CD6">
        <w:rPr>
          <w:rFonts w:ascii="Times New Roman" w:hAnsi="Times New Roman"/>
          <w:color w:val="000000" w:themeColor="text1"/>
          <w:sz w:val="28"/>
          <w:szCs w:val="28"/>
        </w:rPr>
        <w:t xml:space="preserve"> </w:t>
      </w:r>
      <w:proofErr w:type="spellStart"/>
      <w:r w:rsidRPr="00A57CD6">
        <w:rPr>
          <w:rFonts w:ascii="Times New Roman" w:hAnsi="Times New Roman"/>
          <w:color w:val="000000" w:themeColor="text1"/>
          <w:sz w:val="28"/>
          <w:szCs w:val="28"/>
        </w:rPr>
        <w:t>Identification</w:t>
      </w:r>
      <w:proofErr w:type="spellEnd"/>
      <w:r w:rsidRPr="00A57CD6">
        <w:rPr>
          <w:rFonts w:ascii="Times New Roman" w:hAnsi="Times New Roman"/>
          <w:color w:val="000000" w:themeColor="text1"/>
          <w:sz w:val="28"/>
          <w:szCs w:val="28"/>
        </w:rPr>
        <w:t xml:space="preserve"> </w:t>
      </w:r>
      <w:proofErr w:type="spellStart"/>
      <w:r w:rsidRPr="00A57CD6">
        <w:rPr>
          <w:rFonts w:ascii="Times New Roman" w:hAnsi="Times New Roman"/>
          <w:color w:val="000000" w:themeColor="text1"/>
          <w:sz w:val="28"/>
          <w:szCs w:val="28"/>
        </w:rPr>
        <w:t>Number</w:t>
      </w:r>
      <w:proofErr w:type="spellEnd"/>
      <w:r w:rsidRPr="00A57CD6">
        <w:rPr>
          <w:rFonts w:ascii="Times New Roman" w:hAnsi="Times New Roman"/>
          <w:color w:val="000000" w:themeColor="text1"/>
          <w:sz w:val="28"/>
          <w:szCs w:val="28"/>
        </w:rPr>
        <w:t xml:space="preserve">, ISIN) (далее – код </w:t>
      </w:r>
      <w:r w:rsidRPr="00A57CD6">
        <w:rPr>
          <w:rFonts w:ascii="Times New Roman" w:hAnsi="Times New Roman"/>
          <w:color w:val="000000" w:themeColor="text1"/>
          <w:sz w:val="28"/>
          <w:szCs w:val="28"/>
          <w:lang w:val="en-US"/>
        </w:rPr>
        <w:t>ISIN</w:t>
      </w:r>
      <w:r w:rsidRPr="00A57CD6">
        <w:rPr>
          <w:rFonts w:ascii="Times New Roman" w:hAnsi="Times New Roman"/>
          <w:color w:val="000000" w:themeColor="text1"/>
          <w:sz w:val="28"/>
          <w:szCs w:val="28"/>
        </w:rPr>
        <w:t>), значения которых разделяются символом «_» (нижнее подчеркивание). Для целей составления Отчета под регистрационным номером выпуска понимается:</w:t>
      </w:r>
    </w:p>
    <w:p w14:paraId="467D4788" w14:textId="77777777" w:rsidR="00362F34" w:rsidRPr="007B438D" w:rsidRDefault="00362F34" w:rsidP="00362F34">
      <w:pPr>
        <w:tabs>
          <w:tab w:val="left" w:pos="284"/>
          <w:tab w:val="left" w:pos="1134"/>
        </w:tabs>
        <w:spacing w:after="0" w:line="360" w:lineRule="auto"/>
        <w:ind w:firstLine="709"/>
        <w:jc w:val="both"/>
        <w:rPr>
          <w:rFonts w:ascii="Times New Roman" w:hAnsi="Times New Roman"/>
          <w:color w:val="000000" w:themeColor="text1"/>
          <w:sz w:val="28"/>
          <w:szCs w:val="28"/>
        </w:rPr>
      </w:pPr>
      <w:r w:rsidRPr="007B438D">
        <w:rPr>
          <w:rFonts w:ascii="Times New Roman" w:hAnsi="Times New Roman"/>
          <w:color w:val="000000" w:themeColor="text1"/>
          <w:sz w:val="28"/>
          <w:szCs w:val="28"/>
        </w:rPr>
        <w:t>для эмиссионных ценных бумаг, выпущенных эмитентами-резидентами, – регистрационный номер (государственный регистрационный номер, идентификационный номер) выпуска ценных бумаг (программы облигаций);</w:t>
      </w:r>
    </w:p>
    <w:p w14:paraId="4F2E0AF7" w14:textId="77777777" w:rsidR="00362F34" w:rsidRPr="007B438D" w:rsidRDefault="00362F34" w:rsidP="00362F34">
      <w:pPr>
        <w:tabs>
          <w:tab w:val="left" w:pos="284"/>
          <w:tab w:val="left" w:pos="1134"/>
        </w:tabs>
        <w:spacing w:after="0" w:line="360" w:lineRule="auto"/>
        <w:ind w:firstLine="709"/>
        <w:jc w:val="both"/>
        <w:rPr>
          <w:rFonts w:ascii="Times New Roman" w:hAnsi="Times New Roman"/>
          <w:color w:val="000000" w:themeColor="text1"/>
          <w:sz w:val="28"/>
          <w:szCs w:val="28"/>
        </w:rPr>
      </w:pPr>
      <w:r w:rsidRPr="007B438D">
        <w:rPr>
          <w:rFonts w:ascii="Times New Roman" w:hAnsi="Times New Roman"/>
          <w:color w:val="000000" w:themeColor="text1"/>
          <w:sz w:val="28"/>
          <w:szCs w:val="28"/>
        </w:rPr>
        <w:t xml:space="preserve">для инвестиционных паев паевых инвестиционных фондов, доверительное управление которыми осуществляет управляющая компания – резидент, – регистрационный номер правил доверительного управления паевым инвестиционным фондом (при наличии); </w:t>
      </w:r>
    </w:p>
    <w:p w14:paraId="34678869" w14:textId="77777777" w:rsidR="00362F34" w:rsidRPr="007B438D" w:rsidRDefault="00362F34" w:rsidP="00362F34">
      <w:pPr>
        <w:tabs>
          <w:tab w:val="left" w:pos="284"/>
          <w:tab w:val="left" w:pos="1134"/>
        </w:tabs>
        <w:spacing w:after="0" w:line="360" w:lineRule="auto"/>
        <w:ind w:firstLine="709"/>
        <w:jc w:val="both"/>
        <w:rPr>
          <w:rFonts w:ascii="Times New Roman" w:hAnsi="Times New Roman"/>
          <w:color w:val="000000" w:themeColor="text1"/>
          <w:sz w:val="28"/>
          <w:szCs w:val="28"/>
        </w:rPr>
      </w:pPr>
      <w:r w:rsidRPr="007B438D">
        <w:rPr>
          <w:rFonts w:ascii="Times New Roman" w:hAnsi="Times New Roman"/>
          <w:color w:val="000000" w:themeColor="text1"/>
          <w:sz w:val="28"/>
          <w:szCs w:val="28"/>
        </w:rPr>
        <w:t>для эмиссионных ценных бумаг, выпущенных эмитентами-нерезидентами, по которым у кредитной организации – брокера отсутствуют сведения о коде ISIN, – регистрационный номер выпуска указанных ценных бумаг, присвоенный регистрационным органом в стране регистрации их выпуска (при наличии);</w:t>
      </w:r>
    </w:p>
    <w:p w14:paraId="02E90674" w14:textId="77777777" w:rsidR="00362F34" w:rsidRPr="007B438D" w:rsidRDefault="00362F34" w:rsidP="00362F34">
      <w:pPr>
        <w:tabs>
          <w:tab w:val="left" w:pos="284"/>
          <w:tab w:val="left" w:pos="1134"/>
        </w:tabs>
        <w:spacing w:after="0" w:line="360" w:lineRule="auto"/>
        <w:ind w:firstLine="709"/>
        <w:jc w:val="both"/>
        <w:rPr>
          <w:rFonts w:ascii="Times New Roman" w:hAnsi="Times New Roman"/>
          <w:color w:val="000000" w:themeColor="text1"/>
          <w:sz w:val="28"/>
          <w:szCs w:val="28"/>
        </w:rPr>
      </w:pPr>
      <w:r w:rsidRPr="007B438D">
        <w:rPr>
          <w:rFonts w:ascii="Times New Roman" w:hAnsi="Times New Roman"/>
          <w:color w:val="000000" w:themeColor="text1"/>
          <w:sz w:val="28"/>
          <w:szCs w:val="28"/>
        </w:rPr>
        <w:t>для депозитарных расписок на ценные бумаги резидентов – регистрационный номер (государственный регистрационный номер, идентификационный номер) выпуска представляемых ценных бумаг (программы облигаций);</w:t>
      </w:r>
    </w:p>
    <w:p w14:paraId="5E7D5C9F" w14:textId="588E1705" w:rsidR="00362F34" w:rsidRDefault="00362F34" w:rsidP="00362F34">
      <w:pPr>
        <w:tabs>
          <w:tab w:val="left" w:pos="851"/>
          <w:tab w:val="left" w:pos="993"/>
        </w:tabs>
        <w:autoSpaceDE w:val="0"/>
        <w:autoSpaceDN w:val="0"/>
        <w:adjustRightInd w:val="0"/>
        <w:spacing w:after="0" w:line="360" w:lineRule="auto"/>
        <w:ind w:firstLine="709"/>
        <w:jc w:val="both"/>
        <w:outlineLvl w:val="0"/>
        <w:rPr>
          <w:rFonts w:ascii="Times New Roman" w:hAnsi="Times New Roman"/>
          <w:color w:val="000000" w:themeColor="text1"/>
          <w:sz w:val="28"/>
          <w:szCs w:val="28"/>
        </w:rPr>
      </w:pPr>
      <w:r w:rsidRPr="007B438D">
        <w:rPr>
          <w:rFonts w:ascii="Times New Roman" w:hAnsi="Times New Roman"/>
          <w:color w:val="000000" w:themeColor="text1"/>
          <w:sz w:val="28"/>
          <w:szCs w:val="28"/>
        </w:rPr>
        <w:t>для ипотечных сертификатов участия (далее – ИСУ) – регистрационный номер правил доверительного управления ипотечным покрытием;</w:t>
      </w:r>
    </w:p>
    <w:p w14:paraId="2F800EF1" w14:textId="77777777" w:rsidR="00897A26" w:rsidRPr="007B438D" w:rsidRDefault="00897A26" w:rsidP="00897A26">
      <w:pPr>
        <w:tabs>
          <w:tab w:val="left" w:pos="284"/>
          <w:tab w:val="left" w:pos="1134"/>
        </w:tabs>
        <w:spacing w:after="0" w:line="360" w:lineRule="auto"/>
        <w:ind w:firstLine="709"/>
        <w:jc w:val="both"/>
        <w:rPr>
          <w:rFonts w:ascii="Times New Roman" w:hAnsi="Times New Roman"/>
          <w:color w:val="000000" w:themeColor="text1"/>
          <w:sz w:val="28"/>
          <w:szCs w:val="28"/>
        </w:rPr>
      </w:pPr>
      <w:r w:rsidRPr="007B438D">
        <w:rPr>
          <w:rFonts w:ascii="Times New Roman" w:hAnsi="Times New Roman"/>
          <w:color w:val="000000" w:themeColor="text1"/>
          <w:sz w:val="28"/>
          <w:szCs w:val="28"/>
        </w:rPr>
        <w:t xml:space="preserve">для ценных бумаг, выпущенных хозяйственным обществом со статусом международной компании, зарегистрированным в ЕГРЮЛ в порядке инкорпорации или в связи с изменением иностранным юридическим лицом личного закона в порядке </w:t>
      </w:r>
      <w:proofErr w:type="spellStart"/>
      <w:r w:rsidRPr="007B438D">
        <w:rPr>
          <w:rFonts w:ascii="Times New Roman" w:hAnsi="Times New Roman"/>
          <w:color w:val="000000" w:themeColor="text1"/>
          <w:sz w:val="28"/>
          <w:szCs w:val="28"/>
        </w:rPr>
        <w:t>редомициляции</w:t>
      </w:r>
      <w:proofErr w:type="spellEnd"/>
      <w:r w:rsidRPr="007B438D">
        <w:rPr>
          <w:rFonts w:ascii="Times New Roman" w:hAnsi="Times New Roman"/>
          <w:color w:val="000000" w:themeColor="text1"/>
          <w:sz w:val="28"/>
          <w:szCs w:val="28"/>
        </w:rPr>
        <w:t xml:space="preserve"> в соответствии со статьей 1 Федерального закона № 290-ФЗ (далее при совместном упоминании – международная компания), – регистрационный номер выпуска ценных бумаг.</w:t>
      </w:r>
    </w:p>
    <w:p w14:paraId="5E161001" w14:textId="20CD7012" w:rsidR="00362F34" w:rsidRDefault="00897A26" w:rsidP="00897A26">
      <w:pPr>
        <w:tabs>
          <w:tab w:val="left" w:pos="851"/>
          <w:tab w:val="left" w:pos="993"/>
        </w:tabs>
        <w:autoSpaceDE w:val="0"/>
        <w:autoSpaceDN w:val="0"/>
        <w:adjustRightInd w:val="0"/>
        <w:spacing w:after="0" w:line="360" w:lineRule="auto"/>
        <w:ind w:firstLine="709"/>
        <w:jc w:val="both"/>
        <w:outlineLvl w:val="0"/>
        <w:rPr>
          <w:rFonts w:ascii="Times New Roman" w:hAnsi="Times New Roman"/>
          <w:color w:val="000000" w:themeColor="text1"/>
          <w:sz w:val="28"/>
          <w:szCs w:val="28"/>
        </w:rPr>
      </w:pPr>
      <w:r w:rsidRPr="007B438D">
        <w:rPr>
          <w:rFonts w:ascii="Times New Roman" w:hAnsi="Times New Roman"/>
          <w:color w:val="000000" w:themeColor="text1"/>
          <w:sz w:val="28"/>
          <w:szCs w:val="28"/>
        </w:rPr>
        <w:lastRenderedPageBreak/>
        <w:t>Код ISIN ценной бумаги указывается при наличии. Для депозитарной расписки на ценные бумаги резидентов, депозитарной расписки на ценные бумаги нерезидентов указывается код ISIN указанной депозитарной расписки.</w:t>
      </w:r>
    </w:p>
    <w:p w14:paraId="1AADB1EE" w14:textId="77777777" w:rsidR="00897A26" w:rsidRPr="007B438D" w:rsidRDefault="00897A26" w:rsidP="00897A26">
      <w:pPr>
        <w:tabs>
          <w:tab w:val="left" w:pos="284"/>
          <w:tab w:val="left" w:pos="1134"/>
        </w:tabs>
        <w:spacing w:after="0" w:line="360" w:lineRule="auto"/>
        <w:ind w:firstLine="709"/>
        <w:jc w:val="both"/>
        <w:rPr>
          <w:rFonts w:ascii="Times New Roman" w:hAnsi="Times New Roman"/>
          <w:color w:val="000000" w:themeColor="text1"/>
          <w:sz w:val="28"/>
          <w:szCs w:val="28"/>
        </w:rPr>
      </w:pPr>
      <w:r w:rsidRPr="007B438D">
        <w:rPr>
          <w:rFonts w:ascii="Times New Roman" w:hAnsi="Times New Roman"/>
          <w:color w:val="000000" w:themeColor="text1"/>
          <w:sz w:val="28"/>
          <w:szCs w:val="28"/>
        </w:rPr>
        <w:t>Не допускается использование для эмиссионных ценных бумаг внутренних кодов кредитной организации – брокера, а также кодов, присвоенных другими организациями, не являющимися регистрационными.</w:t>
      </w:r>
    </w:p>
    <w:p w14:paraId="0451296D" w14:textId="4EB2CB4D" w:rsidR="00897A26" w:rsidRDefault="00897A26" w:rsidP="00897A26">
      <w:pPr>
        <w:tabs>
          <w:tab w:val="left" w:pos="851"/>
          <w:tab w:val="left" w:pos="993"/>
        </w:tabs>
        <w:autoSpaceDE w:val="0"/>
        <w:autoSpaceDN w:val="0"/>
        <w:adjustRightInd w:val="0"/>
        <w:spacing w:after="0" w:line="360" w:lineRule="auto"/>
        <w:ind w:firstLine="709"/>
        <w:jc w:val="both"/>
        <w:outlineLvl w:val="0"/>
        <w:rPr>
          <w:rFonts w:ascii="Times New Roman" w:hAnsi="Times New Roman"/>
          <w:color w:val="000000" w:themeColor="text1"/>
          <w:sz w:val="28"/>
          <w:szCs w:val="28"/>
        </w:rPr>
      </w:pPr>
      <w:r w:rsidRPr="007B438D">
        <w:rPr>
          <w:rFonts w:ascii="Times New Roman" w:hAnsi="Times New Roman"/>
          <w:color w:val="000000" w:themeColor="text1"/>
          <w:sz w:val="28"/>
          <w:szCs w:val="28"/>
        </w:rPr>
        <w:t xml:space="preserve">По </w:t>
      </w:r>
      <w:proofErr w:type="spellStart"/>
      <w:r w:rsidRPr="007B438D">
        <w:rPr>
          <w:rFonts w:ascii="Times New Roman" w:hAnsi="Times New Roman"/>
          <w:color w:val="000000" w:themeColor="text1"/>
          <w:sz w:val="28"/>
          <w:szCs w:val="28"/>
        </w:rPr>
        <w:t>неэмиссионным</w:t>
      </w:r>
      <w:proofErr w:type="spellEnd"/>
      <w:r w:rsidRPr="007B438D">
        <w:rPr>
          <w:rFonts w:ascii="Times New Roman" w:hAnsi="Times New Roman"/>
          <w:color w:val="000000" w:themeColor="text1"/>
          <w:sz w:val="28"/>
          <w:szCs w:val="28"/>
        </w:rPr>
        <w:t xml:space="preserve"> ценным бумагам информация о коде </w:t>
      </w:r>
      <w:r w:rsidRPr="007B438D">
        <w:rPr>
          <w:rFonts w:ascii="Times New Roman" w:hAnsi="Times New Roman"/>
          <w:color w:val="000000" w:themeColor="text1"/>
          <w:sz w:val="28"/>
          <w:szCs w:val="28"/>
          <w:lang w:val="en-US"/>
        </w:rPr>
        <w:t>ISIN</w:t>
      </w:r>
      <w:r w:rsidRPr="007B438D">
        <w:rPr>
          <w:rFonts w:ascii="Times New Roman" w:hAnsi="Times New Roman"/>
          <w:color w:val="000000" w:themeColor="text1"/>
          <w:sz w:val="28"/>
          <w:szCs w:val="28"/>
        </w:rPr>
        <w:t xml:space="preserve"> не указывается.</w:t>
      </w:r>
    </w:p>
    <w:p w14:paraId="3C2E1E77" w14:textId="5334805E" w:rsidR="00897A26" w:rsidRPr="00781B3F" w:rsidRDefault="004B14AB" w:rsidP="00781B3F">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sidRPr="00781B3F">
        <w:rPr>
          <w:rFonts w:ascii="Times New Roman" w:hAnsi="Times New Roman"/>
          <w:color w:val="000000" w:themeColor="text1"/>
          <w:sz w:val="28"/>
          <w:szCs w:val="28"/>
        </w:rPr>
        <w:t>Для иностранной валюты указывается трехзначный цифровой код валюты в соответствии с Общероссийским классификатором валют.</w:t>
      </w:r>
    </w:p>
    <w:p w14:paraId="22A4D7EE" w14:textId="500918AB" w:rsidR="004B14AB" w:rsidRPr="00781B3F" w:rsidRDefault="004B14AB" w:rsidP="00781B3F">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sidRPr="00781B3F">
        <w:rPr>
          <w:rFonts w:ascii="Times New Roman" w:hAnsi="Times New Roman"/>
          <w:color w:val="000000" w:themeColor="text1"/>
          <w:sz w:val="28"/>
          <w:szCs w:val="28"/>
        </w:rPr>
        <w:t>Для драгоценных металлов указывается трехзначный буквенно-цифровой код драгоценного металла в соответствии с Классификатором клиринговых валют.</w:t>
      </w:r>
    </w:p>
    <w:p w14:paraId="6AC8FABC" w14:textId="362347C4" w:rsidR="004B14AB" w:rsidRPr="00781B3F" w:rsidRDefault="004B14AB" w:rsidP="00781B3F">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sidRPr="00781B3F">
        <w:rPr>
          <w:rFonts w:ascii="Times New Roman" w:hAnsi="Times New Roman"/>
          <w:color w:val="000000" w:themeColor="text1"/>
          <w:sz w:val="28"/>
          <w:szCs w:val="28"/>
        </w:rPr>
        <w:t>Для иных активов указывается наименование иного актива, позволяющее идентифицировать иной актив.</w:t>
      </w:r>
    </w:p>
    <w:p w14:paraId="03EB1E39" w14:textId="5506DB45" w:rsidR="00215B95" w:rsidRPr="00215B95" w:rsidRDefault="00215B95" w:rsidP="009761BB">
      <w:pPr>
        <w:pStyle w:val="a3"/>
        <w:numPr>
          <w:ilvl w:val="1"/>
          <w:numId w:val="13"/>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7B438D">
        <w:rPr>
          <w:rFonts w:ascii="Times New Roman" w:eastAsia="Calibri" w:hAnsi="Times New Roman"/>
          <w:color w:val="000000" w:themeColor="text1"/>
          <w:sz w:val="28"/>
          <w:szCs w:val="28"/>
        </w:rPr>
        <w:t xml:space="preserve">В графе </w:t>
      </w:r>
      <w:r w:rsidR="009761BB">
        <w:rPr>
          <w:rFonts w:ascii="Times New Roman" w:eastAsia="Calibri" w:hAnsi="Times New Roman"/>
          <w:color w:val="000000" w:themeColor="text1"/>
          <w:sz w:val="28"/>
          <w:szCs w:val="28"/>
        </w:rPr>
        <w:t>«</w:t>
      </w:r>
      <w:r w:rsidR="009761BB" w:rsidRPr="009761BB">
        <w:rPr>
          <w:rFonts w:ascii="Times New Roman" w:eastAsia="Calibri" w:hAnsi="Times New Roman"/>
          <w:color w:val="000000" w:themeColor="text1"/>
          <w:sz w:val="28"/>
          <w:szCs w:val="28"/>
        </w:rPr>
        <w:t>Количество актива</w:t>
      </w:r>
      <w:r w:rsidR="009761BB">
        <w:rPr>
          <w:rFonts w:ascii="Times New Roman" w:eastAsia="Calibri" w:hAnsi="Times New Roman"/>
          <w:color w:val="000000" w:themeColor="text1"/>
          <w:sz w:val="28"/>
          <w:szCs w:val="28"/>
        </w:rPr>
        <w:t>»</w:t>
      </w:r>
      <w:r w:rsidRPr="007B438D">
        <w:rPr>
          <w:rFonts w:ascii="Times New Roman" w:eastAsia="Calibri" w:hAnsi="Times New Roman"/>
          <w:color w:val="000000" w:themeColor="text1"/>
          <w:sz w:val="28"/>
          <w:szCs w:val="28"/>
        </w:rPr>
        <w:t xml:space="preserve"> раздела 4 указывается количество единиц активов, указанных </w:t>
      </w:r>
      <w:r w:rsidR="00421400">
        <w:rPr>
          <w:rFonts w:ascii="Times New Roman" w:eastAsia="Calibri" w:hAnsi="Times New Roman"/>
          <w:color w:val="000000" w:themeColor="text1"/>
          <w:sz w:val="28"/>
          <w:szCs w:val="28"/>
        </w:rPr>
        <w:t>в</w:t>
      </w:r>
      <w:r w:rsidRPr="007B438D">
        <w:rPr>
          <w:rFonts w:ascii="Times New Roman" w:eastAsia="Calibri" w:hAnsi="Times New Roman"/>
          <w:color w:val="000000" w:themeColor="text1"/>
          <w:sz w:val="28"/>
          <w:szCs w:val="28"/>
        </w:rPr>
        <w:t xml:space="preserve"> графе</w:t>
      </w:r>
      <w:r>
        <w:rPr>
          <w:rFonts w:ascii="Times New Roman" w:eastAsia="Calibri" w:hAnsi="Times New Roman"/>
          <w:color w:val="000000" w:themeColor="text1"/>
          <w:sz w:val="28"/>
          <w:szCs w:val="28"/>
        </w:rPr>
        <w:t xml:space="preserve"> «</w:t>
      </w:r>
      <w:r w:rsidRPr="00362F34">
        <w:rPr>
          <w:rFonts w:ascii="Times New Roman" w:eastAsia="Calibri" w:hAnsi="Times New Roman"/>
          <w:color w:val="000000" w:themeColor="text1"/>
          <w:sz w:val="28"/>
          <w:szCs w:val="28"/>
        </w:rPr>
        <w:t>Тип актива</w:t>
      </w:r>
      <w:r>
        <w:rPr>
          <w:rFonts w:ascii="Times New Roman" w:eastAsia="Calibri" w:hAnsi="Times New Roman"/>
          <w:color w:val="000000" w:themeColor="text1"/>
          <w:sz w:val="28"/>
          <w:szCs w:val="28"/>
        </w:rPr>
        <w:t xml:space="preserve">», </w:t>
      </w:r>
      <w:r w:rsidRPr="007B438D">
        <w:rPr>
          <w:rFonts w:ascii="Times New Roman" w:eastAsia="Calibri" w:hAnsi="Times New Roman"/>
          <w:color w:val="000000" w:themeColor="text1"/>
          <w:sz w:val="28"/>
          <w:szCs w:val="28"/>
        </w:rPr>
        <w:t>плановая позиция по которым меньше нуля, по состоянию на конец последнего календарного дня отчетного периода.</w:t>
      </w:r>
    </w:p>
    <w:p w14:paraId="07819FF5" w14:textId="5CB1061A" w:rsidR="00215B95" w:rsidRPr="0097279C" w:rsidRDefault="00215B95" w:rsidP="009761BB">
      <w:pPr>
        <w:pStyle w:val="a3"/>
        <w:numPr>
          <w:ilvl w:val="1"/>
          <w:numId w:val="13"/>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7B438D">
        <w:rPr>
          <w:rFonts w:ascii="Times New Roman" w:eastAsia="Calibri" w:hAnsi="Times New Roman"/>
          <w:color w:val="000000" w:themeColor="text1"/>
          <w:sz w:val="28"/>
          <w:szCs w:val="28"/>
        </w:rPr>
        <w:t xml:space="preserve">В графе </w:t>
      </w:r>
      <w:r w:rsidR="009761BB">
        <w:rPr>
          <w:rFonts w:ascii="Times New Roman" w:eastAsia="Calibri" w:hAnsi="Times New Roman"/>
          <w:color w:val="000000" w:themeColor="text1"/>
          <w:sz w:val="28"/>
          <w:szCs w:val="28"/>
        </w:rPr>
        <w:t>«</w:t>
      </w:r>
      <w:r w:rsidR="009761BB" w:rsidRPr="009761BB">
        <w:rPr>
          <w:rFonts w:ascii="Times New Roman" w:eastAsia="Calibri" w:hAnsi="Times New Roman"/>
          <w:color w:val="000000" w:themeColor="text1"/>
          <w:sz w:val="28"/>
          <w:szCs w:val="28"/>
        </w:rPr>
        <w:t>Сумма коротких позиций</w:t>
      </w:r>
      <w:r w:rsidR="009761BB">
        <w:rPr>
          <w:rFonts w:ascii="Times New Roman" w:eastAsia="Calibri" w:hAnsi="Times New Roman"/>
          <w:color w:val="000000" w:themeColor="text1"/>
          <w:sz w:val="28"/>
          <w:szCs w:val="28"/>
        </w:rPr>
        <w:t>»</w:t>
      </w:r>
      <w:r w:rsidRPr="007B438D">
        <w:rPr>
          <w:rFonts w:ascii="Times New Roman" w:eastAsia="Calibri" w:hAnsi="Times New Roman"/>
          <w:color w:val="000000" w:themeColor="text1"/>
          <w:sz w:val="28"/>
          <w:szCs w:val="28"/>
        </w:rPr>
        <w:t xml:space="preserve"> раздела 4 указывается стоимость портфеля клиента, сформированная за счет активов, указанных </w:t>
      </w:r>
      <w:r w:rsidR="00421400">
        <w:rPr>
          <w:rFonts w:ascii="Times New Roman" w:eastAsia="Calibri" w:hAnsi="Times New Roman"/>
          <w:color w:val="000000" w:themeColor="text1"/>
          <w:sz w:val="28"/>
          <w:szCs w:val="28"/>
        </w:rPr>
        <w:t>в</w:t>
      </w:r>
      <w:r w:rsidRPr="007B438D">
        <w:rPr>
          <w:rFonts w:ascii="Times New Roman" w:eastAsia="Calibri" w:hAnsi="Times New Roman"/>
          <w:color w:val="000000" w:themeColor="text1"/>
          <w:sz w:val="28"/>
          <w:szCs w:val="28"/>
        </w:rPr>
        <w:t xml:space="preserve"> графе</w:t>
      </w:r>
      <w:r>
        <w:rPr>
          <w:rFonts w:ascii="Times New Roman" w:eastAsia="Calibri" w:hAnsi="Times New Roman"/>
          <w:color w:val="000000" w:themeColor="text1"/>
          <w:sz w:val="28"/>
          <w:szCs w:val="28"/>
        </w:rPr>
        <w:t xml:space="preserve"> </w:t>
      </w:r>
      <w:r>
        <w:rPr>
          <w:rFonts w:ascii="Times New Roman" w:hAnsi="Times New Roman"/>
          <w:color w:val="000000" w:themeColor="text1"/>
          <w:sz w:val="28"/>
          <w:szCs w:val="28"/>
        </w:rPr>
        <w:t>«</w:t>
      </w:r>
      <w:r w:rsidRPr="00362F34">
        <w:rPr>
          <w:rFonts w:ascii="Times New Roman" w:hAnsi="Times New Roman"/>
          <w:color w:val="000000" w:themeColor="text1"/>
          <w:sz w:val="28"/>
          <w:szCs w:val="28"/>
        </w:rPr>
        <w:t>Код актива</w:t>
      </w:r>
      <w:r>
        <w:rPr>
          <w:rFonts w:ascii="Times New Roman" w:hAnsi="Times New Roman"/>
          <w:color w:val="000000" w:themeColor="text1"/>
          <w:sz w:val="28"/>
          <w:szCs w:val="28"/>
        </w:rPr>
        <w:t xml:space="preserve">», </w:t>
      </w:r>
      <w:r w:rsidRPr="007B438D">
        <w:rPr>
          <w:rFonts w:ascii="Times New Roman" w:eastAsia="Calibri" w:hAnsi="Times New Roman"/>
          <w:color w:val="000000" w:themeColor="text1"/>
          <w:sz w:val="28"/>
          <w:szCs w:val="28"/>
        </w:rPr>
        <w:t>плановая позиция по которым меньше нуля, по состоянию на конец последнего календарного дня отчетного периода. Значения по данной графе отражаются со знаком «−» (минус).</w:t>
      </w:r>
    </w:p>
    <w:p w14:paraId="44B00EBD" w14:textId="5C0A0A0A" w:rsidR="0097279C" w:rsidRDefault="0097279C" w:rsidP="0097279C">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 xml:space="preserve">Значение графы </w:t>
      </w:r>
      <w:r w:rsidR="009761BB">
        <w:rPr>
          <w:rFonts w:ascii="Times New Roman" w:eastAsia="Calibri" w:hAnsi="Times New Roman"/>
          <w:color w:val="000000" w:themeColor="text1"/>
          <w:sz w:val="28"/>
          <w:szCs w:val="28"/>
        </w:rPr>
        <w:t>«</w:t>
      </w:r>
      <w:r w:rsidR="009761BB" w:rsidRPr="009761BB">
        <w:rPr>
          <w:rFonts w:ascii="Times New Roman" w:eastAsia="Calibri" w:hAnsi="Times New Roman"/>
          <w:color w:val="000000" w:themeColor="text1"/>
          <w:sz w:val="28"/>
          <w:szCs w:val="28"/>
        </w:rPr>
        <w:t>Сумма коротких позиций</w:t>
      </w:r>
      <w:r w:rsidR="009761BB">
        <w:rPr>
          <w:rFonts w:ascii="Times New Roman" w:eastAsia="Calibri" w:hAnsi="Times New Roman"/>
          <w:color w:val="000000" w:themeColor="text1"/>
          <w:sz w:val="28"/>
          <w:szCs w:val="28"/>
        </w:rPr>
        <w:t>»</w:t>
      </w:r>
      <w:r w:rsidRPr="007B438D">
        <w:rPr>
          <w:rFonts w:ascii="Times New Roman" w:eastAsia="Calibri" w:hAnsi="Times New Roman"/>
          <w:color w:val="000000" w:themeColor="text1"/>
          <w:sz w:val="28"/>
          <w:szCs w:val="28"/>
        </w:rPr>
        <w:t xml:space="preserve"> раздела 4 должно быть равно сумме значений граф</w:t>
      </w:r>
      <w:r w:rsidR="009761BB">
        <w:rPr>
          <w:rFonts w:ascii="Times New Roman" w:eastAsia="Calibri" w:hAnsi="Times New Roman"/>
          <w:color w:val="000000" w:themeColor="text1"/>
          <w:sz w:val="28"/>
          <w:szCs w:val="28"/>
        </w:rPr>
        <w:t>ы</w:t>
      </w:r>
      <w:r w:rsidRPr="007B438D">
        <w:rPr>
          <w:rFonts w:ascii="Times New Roman" w:eastAsia="Calibri" w:hAnsi="Times New Roman"/>
          <w:color w:val="000000" w:themeColor="text1"/>
          <w:sz w:val="28"/>
          <w:szCs w:val="28"/>
        </w:rPr>
        <w:t xml:space="preserve"> </w:t>
      </w:r>
      <w:r w:rsidR="009761BB">
        <w:rPr>
          <w:rFonts w:ascii="Times New Roman" w:eastAsia="Calibri" w:hAnsi="Times New Roman"/>
          <w:color w:val="000000" w:themeColor="text1"/>
          <w:sz w:val="28"/>
          <w:szCs w:val="28"/>
        </w:rPr>
        <w:t>«</w:t>
      </w:r>
      <w:r w:rsidR="009761BB" w:rsidRPr="009761BB">
        <w:rPr>
          <w:rFonts w:ascii="Times New Roman" w:eastAsia="Calibri" w:hAnsi="Times New Roman"/>
          <w:color w:val="000000" w:themeColor="text1"/>
          <w:sz w:val="28"/>
          <w:szCs w:val="28"/>
        </w:rPr>
        <w:t>Направление позиции (по типу актива): короткая</w:t>
      </w:r>
      <w:r w:rsidR="009761BB">
        <w:rPr>
          <w:rFonts w:ascii="Times New Roman" w:eastAsia="Calibri" w:hAnsi="Times New Roman"/>
          <w:color w:val="000000" w:themeColor="text1"/>
          <w:sz w:val="28"/>
          <w:szCs w:val="28"/>
        </w:rPr>
        <w:t xml:space="preserve">» </w:t>
      </w:r>
      <w:r w:rsidRPr="007B438D">
        <w:rPr>
          <w:rFonts w:ascii="Times New Roman" w:eastAsia="Calibri" w:hAnsi="Times New Roman"/>
          <w:color w:val="000000" w:themeColor="text1"/>
          <w:sz w:val="28"/>
          <w:szCs w:val="28"/>
        </w:rPr>
        <w:t xml:space="preserve">раздела 1 по </w:t>
      </w:r>
      <w:r w:rsidR="009761BB">
        <w:rPr>
          <w:rFonts w:ascii="Times New Roman" w:eastAsia="Calibri" w:hAnsi="Times New Roman"/>
          <w:color w:val="000000" w:themeColor="text1"/>
          <w:sz w:val="28"/>
          <w:szCs w:val="28"/>
        </w:rPr>
        <w:t>типам</w:t>
      </w:r>
      <w:r w:rsidRPr="007B438D">
        <w:rPr>
          <w:rFonts w:ascii="Times New Roman" w:eastAsia="Calibri" w:hAnsi="Times New Roman"/>
          <w:color w:val="000000" w:themeColor="text1"/>
          <w:sz w:val="28"/>
          <w:szCs w:val="28"/>
        </w:rPr>
        <w:t xml:space="preserve"> активов клиентов «Иностранная валюта», «Ценные бумаги» и «Иное».</w:t>
      </w:r>
    </w:p>
    <w:p w14:paraId="6D16070A" w14:textId="4871F734" w:rsidR="0097279C" w:rsidRDefault="0097279C" w:rsidP="0097279C">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p>
    <w:p w14:paraId="57256413" w14:textId="77777777" w:rsidR="005918F5" w:rsidRDefault="005918F5" w:rsidP="0097279C">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p>
    <w:p w14:paraId="1B365AB1" w14:textId="7C7BB421" w:rsidR="0097279C" w:rsidRDefault="0097279C" w:rsidP="0097279C">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lastRenderedPageBreak/>
        <w:t>Глава 6. Составление подраздела 4.1 Отчета</w:t>
      </w:r>
    </w:p>
    <w:p w14:paraId="30BA4E2D" w14:textId="71469928" w:rsidR="0097279C" w:rsidRDefault="0097279C" w:rsidP="0097279C">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rPr>
      </w:pPr>
    </w:p>
    <w:p w14:paraId="3C6E92E9" w14:textId="1F2686BD" w:rsidR="0097279C" w:rsidRPr="0097279C" w:rsidRDefault="0097279C" w:rsidP="0097279C">
      <w:pPr>
        <w:pStyle w:val="a3"/>
        <w:numPr>
          <w:ilvl w:val="1"/>
          <w:numId w:val="15"/>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7B438D">
        <w:rPr>
          <w:rFonts w:ascii="Times New Roman" w:eastAsia="Calibri" w:hAnsi="Times New Roman"/>
          <w:color w:val="000000" w:themeColor="text1"/>
          <w:sz w:val="28"/>
          <w:szCs w:val="28"/>
        </w:rPr>
        <w:t>В подразделе 4.1 раздела 4 (далее – подраздел 4.1) указывается информация по каждой ценной бумаге, по которой в портфеле клиента есть отрицательная плановая позиция.</w:t>
      </w:r>
    </w:p>
    <w:p w14:paraId="240BC692" w14:textId="0974F450" w:rsidR="0097279C" w:rsidRPr="0097279C" w:rsidRDefault="005918F5" w:rsidP="0097279C">
      <w:pPr>
        <w:pStyle w:val="a3"/>
        <w:numPr>
          <w:ilvl w:val="1"/>
          <w:numId w:val="15"/>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435AF9">
        <w:rPr>
          <w:rFonts w:ascii="Times New Roman" w:hAnsi="Times New Roman"/>
          <w:sz w:val="28"/>
          <w:szCs w:val="28"/>
          <w:lang w:eastAsia="ru-RU"/>
        </w:rPr>
        <w:t xml:space="preserve">Информация по показателям </w:t>
      </w:r>
      <w:r>
        <w:rPr>
          <w:rFonts w:ascii="Times New Roman" w:hAnsi="Times New Roman"/>
          <w:sz w:val="28"/>
          <w:szCs w:val="28"/>
          <w:lang w:eastAsia="ru-RU"/>
        </w:rPr>
        <w:t>под</w:t>
      </w:r>
      <w:r w:rsidRPr="00435AF9">
        <w:rPr>
          <w:rFonts w:ascii="Times New Roman" w:hAnsi="Times New Roman"/>
          <w:sz w:val="28"/>
          <w:szCs w:val="28"/>
          <w:lang w:eastAsia="ru-RU"/>
        </w:rPr>
        <w:t>раздела 4</w:t>
      </w:r>
      <w:r>
        <w:rPr>
          <w:rFonts w:ascii="Times New Roman" w:hAnsi="Times New Roman"/>
          <w:sz w:val="28"/>
          <w:szCs w:val="28"/>
          <w:lang w:eastAsia="ru-RU"/>
        </w:rPr>
        <w:t>.1</w:t>
      </w:r>
      <w:r w:rsidRPr="00435AF9">
        <w:rPr>
          <w:rFonts w:ascii="Times New Roman" w:hAnsi="Times New Roman"/>
          <w:sz w:val="28"/>
          <w:szCs w:val="28"/>
          <w:lang w:eastAsia="ru-RU"/>
        </w:rPr>
        <w:t xml:space="preserve"> </w:t>
      </w:r>
      <w:r>
        <w:rPr>
          <w:rFonts w:ascii="Times New Roman" w:hAnsi="Times New Roman"/>
          <w:sz w:val="28"/>
          <w:szCs w:val="28"/>
          <w:lang w:eastAsia="ru-RU"/>
        </w:rPr>
        <w:t>О</w:t>
      </w:r>
      <w:r w:rsidRPr="00435AF9">
        <w:rPr>
          <w:rFonts w:ascii="Times New Roman" w:hAnsi="Times New Roman"/>
          <w:sz w:val="28"/>
          <w:szCs w:val="28"/>
          <w:lang w:eastAsia="ru-RU"/>
        </w:rPr>
        <w:t>тчет</w:t>
      </w:r>
      <w:r>
        <w:rPr>
          <w:rFonts w:ascii="Times New Roman" w:hAnsi="Times New Roman"/>
          <w:sz w:val="28"/>
          <w:szCs w:val="28"/>
          <w:lang w:eastAsia="ru-RU"/>
        </w:rPr>
        <w:t xml:space="preserve">а </w:t>
      </w:r>
      <w:r w:rsidRPr="00435AF9">
        <w:rPr>
          <w:rFonts w:ascii="Times New Roman" w:hAnsi="Times New Roman"/>
          <w:sz w:val="28"/>
          <w:szCs w:val="28"/>
          <w:lang w:eastAsia="ru-RU"/>
        </w:rPr>
        <w:t>раскрывается в разрезе</w:t>
      </w:r>
      <w:r w:rsidRPr="007B438D">
        <w:rPr>
          <w:rFonts w:ascii="Times New Roman" w:eastAsia="Calibri" w:hAnsi="Times New Roman"/>
          <w:color w:val="000000" w:themeColor="text1"/>
          <w:sz w:val="28"/>
          <w:szCs w:val="28"/>
        </w:rPr>
        <w:t xml:space="preserve"> </w:t>
      </w:r>
      <w:r>
        <w:rPr>
          <w:rFonts w:ascii="Times New Roman" w:eastAsia="Calibri" w:hAnsi="Times New Roman"/>
          <w:color w:val="000000" w:themeColor="text1"/>
          <w:sz w:val="28"/>
          <w:szCs w:val="28"/>
        </w:rPr>
        <w:t>г</w:t>
      </w:r>
      <w:r w:rsidR="0097279C" w:rsidRPr="007B438D">
        <w:rPr>
          <w:rFonts w:ascii="Times New Roman" w:eastAsia="Calibri" w:hAnsi="Times New Roman"/>
          <w:color w:val="000000" w:themeColor="text1"/>
          <w:sz w:val="28"/>
          <w:szCs w:val="28"/>
        </w:rPr>
        <w:t>раф</w:t>
      </w:r>
      <w:r>
        <w:rPr>
          <w:rFonts w:ascii="Times New Roman" w:eastAsia="Calibri" w:hAnsi="Times New Roman"/>
          <w:color w:val="000000" w:themeColor="text1"/>
          <w:sz w:val="28"/>
          <w:szCs w:val="28"/>
        </w:rPr>
        <w:t>ы</w:t>
      </w:r>
      <w:r w:rsidR="0097279C" w:rsidRPr="0097279C">
        <w:rPr>
          <w:rFonts w:ascii="Times New Roman" w:eastAsia="Calibri" w:hAnsi="Times New Roman"/>
          <w:color w:val="000000" w:themeColor="text1"/>
          <w:sz w:val="28"/>
          <w:szCs w:val="28"/>
        </w:rPr>
        <w:t xml:space="preserve"> </w:t>
      </w:r>
      <w:r>
        <w:rPr>
          <w:rFonts w:ascii="Times New Roman" w:eastAsia="Calibri" w:hAnsi="Times New Roman"/>
          <w:color w:val="000000" w:themeColor="text1"/>
          <w:sz w:val="28"/>
          <w:szCs w:val="28"/>
        </w:rPr>
        <w:t>«</w:t>
      </w:r>
      <w:r w:rsidR="0097279C" w:rsidRPr="00362F34">
        <w:rPr>
          <w:rFonts w:ascii="Times New Roman" w:hAnsi="Times New Roman"/>
          <w:color w:val="000000" w:themeColor="text1"/>
          <w:sz w:val="28"/>
          <w:szCs w:val="28"/>
        </w:rPr>
        <w:t>Код актива</w:t>
      </w:r>
      <w:r w:rsidR="0097279C">
        <w:rPr>
          <w:rFonts w:ascii="Times New Roman" w:hAnsi="Times New Roman"/>
          <w:color w:val="000000" w:themeColor="text1"/>
          <w:sz w:val="28"/>
          <w:szCs w:val="28"/>
        </w:rPr>
        <w:t>»</w:t>
      </w:r>
      <w:r w:rsidR="0097279C" w:rsidRPr="0097279C">
        <w:rPr>
          <w:rFonts w:ascii="Times New Roman" w:hAnsi="Times New Roman"/>
          <w:color w:val="000000" w:themeColor="text1"/>
          <w:sz w:val="28"/>
          <w:szCs w:val="28"/>
        </w:rPr>
        <w:t xml:space="preserve"> </w:t>
      </w:r>
      <w:r>
        <w:rPr>
          <w:rFonts w:ascii="Times New Roman" w:hAnsi="Times New Roman"/>
          <w:color w:val="000000" w:themeColor="text1"/>
          <w:sz w:val="28"/>
          <w:szCs w:val="28"/>
        </w:rPr>
        <w:t>в соответствии с подпунктом 5.3.3 пункта 5.3 настоящего Порядка.</w:t>
      </w:r>
    </w:p>
    <w:p w14:paraId="5F351214" w14:textId="76711421" w:rsidR="0097279C" w:rsidRPr="0097279C" w:rsidRDefault="0097279C" w:rsidP="00177950">
      <w:pPr>
        <w:pStyle w:val="a3"/>
        <w:numPr>
          <w:ilvl w:val="1"/>
          <w:numId w:val="15"/>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7B438D">
        <w:rPr>
          <w:rFonts w:ascii="Times New Roman" w:eastAsia="Calibri" w:hAnsi="Times New Roman"/>
          <w:color w:val="000000" w:themeColor="text1"/>
          <w:sz w:val="28"/>
          <w:szCs w:val="28"/>
        </w:rPr>
        <w:t xml:space="preserve">В целях составления Отчета в графе </w:t>
      </w:r>
      <w:r w:rsidR="00177950">
        <w:rPr>
          <w:rFonts w:ascii="Times New Roman" w:eastAsia="Calibri" w:hAnsi="Times New Roman"/>
          <w:color w:val="000000" w:themeColor="text1"/>
          <w:sz w:val="28"/>
          <w:szCs w:val="28"/>
        </w:rPr>
        <w:t>«</w:t>
      </w:r>
      <w:r w:rsidR="00177950" w:rsidRPr="00177950">
        <w:rPr>
          <w:rFonts w:ascii="Times New Roman" w:eastAsia="Calibri" w:hAnsi="Times New Roman"/>
          <w:color w:val="000000" w:themeColor="text1"/>
          <w:sz w:val="28"/>
          <w:szCs w:val="28"/>
        </w:rPr>
        <w:t>Тип ценной бумаги (вид финансового инструмента)</w:t>
      </w:r>
      <w:r w:rsidR="00177950">
        <w:rPr>
          <w:rFonts w:ascii="Times New Roman" w:eastAsia="Calibri" w:hAnsi="Times New Roman"/>
          <w:color w:val="000000" w:themeColor="text1"/>
          <w:sz w:val="28"/>
          <w:szCs w:val="28"/>
        </w:rPr>
        <w:t>»</w:t>
      </w:r>
      <w:r w:rsidRPr="007B438D">
        <w:rPr>
          <w:rFonts w:ascii="Times New Roman" w:eastAsia="Calibri" w:hAnsi="Times New Roman"/>
          <w:color w:val="000000" w:themeColor="text1"/>
          <w:sz w:val="28"/>
          <w:szCs w:val="28"/>
        </w:rPr>
        <w:t xml:space="preserve"> подраздела 4.1 указывается тип ценной бумаги</w:t>
      </w:r>
      <w:r w:rsidR="005918F5">
        <w:rPr>
          <w:rFonts w:ascii="Times New Roman" w:eastAsia="Calibri" w:hAnsi="Times New Roman"/>
          <w:color w:val="000000" w:themeColor="text1"/>
          <w:sz w:val="28"/>
          <w:szCs w:val="28"/>
        </w:rPr>
        <w:t>. Информация раскрывается в следующих разрезах:</w:t>
      </w:r>
    </w:p>
    <w:p w14:paraId="080F21AE" w14:textId="3EDD4261" w:rsidR="000749C9" w:rsidRPr="000749C9" w:rsidRDefault="000749C9" w:rsidP="000749C9">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BON1 – о</w:t>
      </w:r>
      <w:r w:rsidRPr="000749C9">
        <w:rPr>
          <w:rFonts w:ascii="Times New Roman" w:hAnsi="Times New Roman"/>
          <w:sz w:val="28"/>
          <w:szCs w:val="28"/>
        </w:rPr>
        <w:t>блигации федеральных органов исполнительной власти Российской Федерации и облигации Банка России</w:t>
      </w:r>
      <w:r>
        <w:rPr>
          <w:rFonts w:ascii="Times New Roman" w:hAnsi="Times New Roman"/>
          <w:sz w:val="28"/>
          <w:szCs w:val="28"/>
        </w:rPr>
        <w:t>;</w:t>
      </w:r>
    </w:p>
    <w:p w14:paraId="478BB680" w14:textId="7B7EE160" w:rsidR="000749C9" w:rsidRPr="000749C9" w:rsidRDefault="000749C9" w:rsidP="000749C9">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BON2 – о</w:t>
      </w:r>
      <w:r w:rsidRPr="000749C9">
        <w:rPr>
          <w:rFonts w:ascii="Times New Roman" w:hAnsi="Times New Roman"/>
          <w:sz w:val="28"/>
          <w:szCs w:val="28"/>
        </w:rPr>
        <w:t>блигации органов исполнительной власти субъектов Российской Федерации и облигации муниципальных образований Российской Федерации</w:t>
      </w:r>
      <w:r>
        <w:rPr>
          <w:rFonts w:ascii="Times New Roman" w:hAnsi="Times New Roman"/>
          <w:sz w:val="28"/>
          <w:szCs w:val="28"/>
        </w:rPr>
        <w:t>;</w:t>
      </w:r>
    </w:p>
    <w:p w14:paraId="55E51F5F" w14:textId="0828FCE7" w:rsidR="000749C9" w:rsidRPr="000749C9" w:rsidRDefault="000749C9" w:rsidP="000749C9">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BON3 – о</w:t>
      </w:r>
      <w:r w:rsidRPr="000749C9">
        <w:rPr>
          <w:rFonts w:ascii="Times New Roman" w:hAnsi="Times New Roman"/>
          <w:sz w:val="28"/>
          <w:szCs w:val="28"/>
        </w:rPr>
        <w:t>блигации кредитных организаций – резидентов</w:t>
      </w:r>
      <w:r>
        <w:rPr>
          <w:rFonts w:ascii="Times New Roman" w:hAnsi="Times New Roman"/>
          <w:sz w:val="28"/>
          <w:szCs w:val="28"/>
        </w:rPr>
        <w:t>;</w:t>
      </w:r>
    </w:p>
    <w:p w14:paraId="51F1554E" w14:textId="38200196" w:rsidR="000749C9" w:rsidRPr="000749C9" w:rsidRDefault="000749C9" w:rsidP="000749C9">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BON4 – о</w:t>
      </w:r>
      <w:r w:rsidRPr="000749C9">
        <w:rPr>
          <w:rFonts w:ascii="Times New Roman" w:hAnsi="Times New Roman"/>
          <w:sz w:val="28"/>
          <w:szCs w:val="28"/>
        </w:rPr>
        <w:t>блигации прочих резидентов</w:t>
      </w:r>
      <w:r>
        <w:rPr>
          <w:rFonts w:ascii="Times New Roman" w:hAnsi="Times New Roman"/>
          <w:sz w:val="28"/>
          <w:szCs w:val="28"/>
        </w:rPr>
        <w:t>;</w:t>
      </w:r>
    </w:p>
    <w:p w14:paraId="32626A5A" w14:textId="12C4D7BA" w:rsidR="000749C9" w:rsidRPr="000749C9" w:rsidRDefault="000749C9" w:rsidP="000749C9">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BON5 – о</w:t>
      </w:r>
      <w:r w:rsidRPr="000749C9">
        <w:rPr>
          <w:rFonts w:ascii="Times New Roman" w:hAnsi="Times New Roman"/>
          <w:sz w:val="28"/>
          <w:szCs w:val="28"/>
        </w:rPr>
        <w:t>блигации иностранных государств и облигации иностранных центральных банков</w:t>
      </w:r>
      <w:r>
        <w:rPr>
          <w:rFonts w:ascii="Times New Roman" w:hAnsi="Times New Roman"/>
          <w:sz w:val="28"/>
          <w:szCs w:val="28"/>
        </w:rPr>
        <w:t>;</w:t>
      </w:r>
    </w:p>
    <w:p w14:paraId="0496D072" w14:textId="2C8E6734" w:rsidR="000749C9" w:rsidRPr="000749C9" w:rsidRDefault="000749C9" w:rsidP="000749C9">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BON6 – о</w:t>
      </w:r>
      <w:r w:rsidRPr="000749C9">
        <w:rPr>
          <w:rFonts w:ascii="Times New Roman" w:hAnsi="Times New Roman"/>
          <w:sz w:val="28"/>
          <w:szCs w:val="28"/>
        </w:rPr>
        <w:t>блигации банков-нерезидентов</w:t>
      </w:r>
      <w:r>
        <w:rPr>
          <w:rFonts w:ascii="Times New Roman" w:hAnsi="Times New Roman"/>
          <w:sz w:val="28"/>
          <w:szCs w:val="28"/>
        </w:rPr>
        <w:t>;</w:t>
      </w:r>
    </w:p>
    <w:p w14:paraId="28C75F69" w14:textId="1DF1551B" w:rsidR="000749C9" w:rsidRPr="000749C9" w:rsidRDefault="000749C9" w:rsidP="000749C9">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BON7 – о</w:t>
      </w:r>
      <w:r w:rsidRPr="000749C9">
        <w:rPr>
          <w:rFonts w:ascii="Times New Roman" w:hAnsi="Times New Roman"/>
          <w:sz w:val="28"/>
          <w:szCs w:val="28"/>
        </w:rPr>
        <w:t>блигации прочих нерезидентов</w:t>
      </w:r>
      <w:r>
        <w:rPr>
          <w:rFonts w:ascii="Times New Roman" w:hAnsi="Times New Roman"/>
          <w:sz w:val="28"/>
          <w:szCs w:val="28"/>
        </w:rPr>
        <w:t>;</w:t>
      </w:r>
    </w:p>
    <w:p w14:paraId="03A40941" w14:textId="5DDDAC9A" w:rsidR="000749C9" w:rsidRPr="000749C9" w:rsidRDefault="000749C9" w:rsidP="000749C9">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DS1 – д</w:t>
      </w:r>
      <w:r w:rsidRPr="000749C9">
        <w:rPr>
          <w:rFonts w:ascii="Times New Roman" w:hAnsi="Times New Roman"/>
          <w:sz w:val="28"/>
          <w:szCs w:val="28"/>
        </w:rPr>
        <w:t>епозитные сертификаты кредитных организаций – резидентов</w:t>
      </w:r>
      <w:r>
        <w:rPr>
          <w:rFonts w:ascii="Times New Roman" w:hAnsi="Times New Roman"/>
          <w:sz w:val="28"/>
          <w:szCs w:val="28"/>
        </w:rPr>
        <w:t>;</w:t>
      </w:r>
    </w:p>
    <w:p w14:paraId="4703A861" w14:textId="5A1A55A0" w:rsidR="000749C9" w:rsidRPr="000749C9" w:rsidRDefault="000749C9" w:rsidP="000749C9">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DS2 – д</w:t>
      </w:r>
      <w:r w:rsidRPr="000749C9">
        <w:rPr>
          <w:rFonts w:ascii="Times New Roman" w:hAnsi="Times New Roman"/>
          <w:sz w:val="28"/>
          <w:szCs w:val="28"/>
        </w:rPr>
        <w:t>епозитные сертификаты банков-нерезидентов</w:t>
      </w:r>
      <w:r>
        <w:rPr>
          <w:rFonts w:ascii="Times New Roman" w:hAnsi="Times New Roman"/>
          <w:sz w:val="28"/>
          <w:szCs w:val="28"/>
        </w:rPr>
        <w:t>;</w:t>
      </w:r>
    </w:p>
    <w:p w14:paraId="725F59B1" w14:textId="644D7B5B" w:rsidR="000749C9" w:rsidRPr="000749C9" w:rsidRDefault="000749C9" w:rsidP="000749C9">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SS1 – с</w:t>
      </w:r>
      <w:r w:rsidRPr="000749C9">
        <w:rPr>
          <w:rFonts w:ascii="Times New Roman" w:hAnsi="Times New Roman"/>
          <w:sz w:val="28"/>
          <w:szCs w:val="28"/>
        </w:rPr>
        <w:t>берегательные сертификаты кредитных организаций – резидентов</w:t>
      </w:r>
      <w:r>
        <w:rPr>
          <w:rFonts w:ascii="Times New Roman" w:hAnsi="Times New Roman"/>
          <w:sz w:val="28"/>
          <w:szCs w:val="28"/>
        </w:rPr>
        <w:t>;</w:t>
      </w:r>
    </w:p>
    <w:p w14:paraId="4F00CDF1" w14:textId="267E46CF" w:rsidR="000749C9" w:rsidRPr="000749C9" w:rsidRDefault="000749C9" w:rsidP="000749C9">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SS2 – с</w:t>
      </w:r>
      <w:r w:rsidRPr="000749C9">
        <w:rPr>
          <w:rFonts w:ascii="Times New Roman" w:hAnsi="Times New Roman"/>
          <w:sz w:val="28"/>
          <w:szCs w:val="28"/>
        </w:rPr>
        <w:t xml:space="preserve">берегательные </w:t>
      </w:r>
      <w:r>
        <w:rPr>
          <w:rFonts w:ascii="Times New Roman" w:hAnsi="Times New Roman"/>
          <w:sz w:val="28"/>
          <w:szCs w:val="28"/>
        </w:rPr>
        <w:t>сертификаты банков-нерезидентов;</w:t>
      </w:r>
    </w:p>
    <w:p w14:paraId="6CE96D17" w14:textId="1A11702E" w:rsidR="000749C9" w:rsidRPr="000749C9" w:rsidRDefault="000749C9" w:rsidP="000749C9">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SHS1 – а</w:t>
      </w:r>
      <w:r w:rsidRPr="000749C9">
        <w:rPr>
          <w:rFonts w:ascii="Times New Roman" w:hAnsi="Times New Roman"/>
          <w:sz w:val="28"/>
          <w:szCs w:val="28"/>
        </w:rPr>
        <w:t>кции кредитных организаций – резидентов (обыкновенные)</w:t>
      </w:r>
      <w:r>
        <w:rPr>
          <w:rFonts w:ascii="Times New Roman" w:hAnsi="Times New Roman"/>
          <w:sz w:val="28"/>
          <w:szCs w:val="28"/>
        </w:rPr>
        <w:t>;</w:t>
      </w:r>
    </w:p>
    <w:p w14:paraId="520B03B1" w14:textId="0CADC2C9" w:rsidR="000749C9" w:rsidRPr="000749C9" w:rsidRDefault="000749C9" w:rsidP="000749C9">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SHS2 – а</w:t>
      </w:r>
      <w:r w:rsidRPr="000749C9">
        <w:rPr>
          <w:rFonts w:ascii="Times New Roman" w:hAnsi="Times New Roman"/>
          <w:sz w:val="28"/>
          <w:szCs w:val="28"/>
        </w:rPr>
        <w:t>кции кредитных организаций – резидентов (привилегированные)</w:t>
      </w:r>
      <w:r>
        <w:rPr>
          <w:rFonts w:ascii="Times New Roman" w:hAnsi="Times New Roman"/>
          <w:sz w:val="28"/>
          <w:szCs w:val="28"/>
        </w:rPr>
        <w:t>;</w:t>
      </w:r>
    </w:p>
    <w:p w14:paraId="0B996C5B" w14:textId="637CCFFB" w:rsidR="000749C9" w:rsidRPr="000749C9" w:rsidRDefault="000749C9" w:rsidP="000749C9">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lastRenderedPageBreak/>
        <w:t>SHS3 – а</w:t>
      </w:r>
      <w:r w:rsidRPr="000749C9">
        <w:rPr>
          <w:rFonts w:ascii="Times New Roman" w:hAnsi="Times New Roman"/>
          <w:sz w:val="28"/>
          <w:szCs w:val="28"/>
        </w:rPr>
        <w:t>кции прочих резидентов (обыкновенные)</w:t>
      </w:r>
      <w:r>
        <w:rPr>
          <w:rFonts w:ascii="Times New Roman" w:hAnsi="Times New Roman"/>
          <w:sz w:val="28"/>
          <w:szCs w:val="28"/>
        </w:rPr>
        <w:t>;</w:t>
      </w:r>
    </w:p>
    <w:p w14:paraId="17DE8460" w14:textId="7B445FF6" w:rsidR="000749C9" w:rsidRPr="000749C9" w:rsidRDefault="000749C9" w:rsidP="000749C9">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SHS4 – а</w:t>
      </w:r>
      <w:r w:rsidRPr="000749C9">
        <w:rPr>
          <w:rFonts w:ascii="Times New Roman" w:hAnsi="Times New Roman"/>
          <w:sz w:val="28"/>
          <w:szCs w:val="28"/>
        </w:rPr>
        <w:t>кции прочих резидентов (привилегированные)</w:t>
      </w:r>
      <w:r>
        <w:rPr>
          <w:rFonts w:ascii="Times New Roman" w:hAnsi="Times New Roman"/>
          <w:sz w:val="28"/>
          <w:szCs w:val="28"/>
        </w:rPr>
        <w:t>;</w:t>
      </w:r>
    </w:p>
    <w:p w14:paraId="4E891BE2" w14:textId="13B789BB" w:rsidR="000749C9" w:rsidRPr="000749C9" w:rsidRDefault="000749C9" w:rsidP="000749C9">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SHS5 – а</w:t>
      </w:r>
      <w:r w:rsidRPr="000749C9">
        <w:rPr>
          <w:rFonts w:ascii="Times New Roman" w:hAnsi="Times New Roman"/>
          <w:sz w:val="28"/>
          <w:szCs w:val="28"/>
        </w:rPr>
        <w:t>кции банков-нерезидентов (обыкновенные)</w:t>
      </w:r>
      <w:r>
        <w:rPr>
          <w:rFonts w:ascii="Times New Roman" w:hAnsi="Times New Roman"/>
          <w:sz w:val="28"/>
          <w:szCs w:val="28"/>
        </w:rPr>
        <w:t>;</w:t>
      </w:r>
    </w:p>
    <w:p w14:paraId="7CFF921A" w14:textId="082B4EDA" w:rsidR="000749C9" w:rsidRPr="000749C9" w:rsidRDefault="000749C9" w:rsidP="000749C9">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SHS6 – а</w:t>
      </w:r>
      <w:r w:rsidRPr="000749C9">
        <w:rPr>
          <w:rFonts w:ascii="Times New Roman" w:hAnsi="Times New Roman"/>
          <w:sz w:val="28"/>
          <w:szCs w:val="28"/>
        </w:rPr>
        <w:t>кции прочих нерезидентов (обыкновенные)</w:t>
      </w:r>
      <w:r>
        <w:rPr>
          <w:rFonts w:ascii="Times New Roman" w:hAnsi="Times New Roman"/>
          <w:sz w:val="28"/>
          <w:szCs w:val="28"/>
        </w:rPr>
        <w:t>;</w:t>
      </w:r>
    </w:p>
    <w:p w14:paraId="7394E9F3" w14:textId="63745B28" w:rsidR="000749C9" w:rsidRPr="000749C9" w:rsidRDefault="000749C9" w:rsidP="000749C9">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SHS7 – п</w:t>
      </w:r>
      <w:r w:rsidRPr="000749C9">
        <w:rPr>
          <w:rFonts w:ascii="Times New Roman" w:hAnsi="Times New Roman"/>
          <w:sz w:val="28"/>
          <w:szCs w:val="28"/>
        </w:rPr>
        <w:t>аи (акции), доли инвестиционных фондов – нерезидентов</w:t>
      </w:r>
      <w:r>
        <w:rPr>
          <w:rFonts w:ascii="Times New Roman" w:hAnsi="Times New Roman"/>
          <w:sz w:val="28"/>
          <w:szCs w:val="28"/>
        </w:rPr>
        <w:t>;</w:t>
      </w:r>
    </w:p>
    <w:p w14:paraId="32E00EE2" w14:textId="1E0FCD47" w:rsidR="000749C9" w:rsidRPr="000749C9" w:rsidRDefault="000749C9" w:rsidP="000749C9">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SHS8 – п</w:t>
      </w:r>
      <w:r w:rsidRPr="000749C9">
        <w:rPr>
          <w:rFonts w:ascii="Times New Roman" w:hAnsi="Times New Roman"/>
          <w:sz w:val="28"/>
          <w:szCs w:val="28"/>
        </w:rPr>
        <w:t>аи (акции) инвестиционных фондов – резидентов</w:t>
      </w:r>
      <w:r>
        <w:rPr>
          <w:rFonts w:ascii="Times New Roman" w:hAnsi="Times New Roman"/>
          <w:sz w:val="28"/>
          <w:szCs w:val="28"/>
        </w:rPr>
        <w:t>;</w:t>
      </w:r>
    </w:p>
    <w:p w14:paraId="58A7B477" w14:textId="7A74CE5C" w:rsidR="000749C9" w:rsidRPr="000749C9" w:rsidRDefault="000749C9" w:rsidP="000749C9">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SHS9 – а</w:t>
      </w:r>
      <w:r w:rsidRPr="000749C9">
        <w:rPr>
          <w:rFonts w:ascii="Times New Roman" w:hAnsi="Times New Roman"/>
          <w:sz w:val="28"/>
          <w:szCs w:val="28"/>
        </w:rPr>
        <w:t>кции банков-нерезидентов (привилегированные)</w:t>
      </w:r>
      <w:r>
        <w:rPr>
          <w:rFonts w:ascii="Times New Roman" w:hAnsi="Times New Roman"/>
          <w:sz w:val="28"/>
          <w:szCs w:val="28"/>
        </w:rPr>
        <w:t>;</w:t>
      </w:r>
    </w:p>
    <w:p w14:paraId="34C31432" w14:textId="0C550322" w:rsidR="000749C9" w:rsidRPr="000749C9" w:rsidRDefault="000749C9" w:rsidP="000749C9">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SHS10 – а</w:t>
      </w:r>
      <w:r w:rsidRPr="000749C9">
        <w:rPr>
          <w:rFonts w:ascii="Times New Roman" w:hAnsi="Times New Roman"/>
          <w:sz w:val="28"/>
          <w:szCs w:val="28"/>
        </w:rPr>
        <w:t>кции прочих нерезидентов (привилегированные)</w:t>
      </w:r>
      <w:r>
        <w:rPr>
          <w:rFonts w:ascii="Times New Roman" w:hAnsi="Times New Roman"/>
          <w:sz w:val="28"/>
          <w:szCs w:val="28"/>
        </w:rPr>
        <w:t>;</w:t>
      </w:r>
    </w:p>
    <w:p w14:paraId="3AEA8946" w14:textId="7DE5AC47" w:rsidR="000749C9" w:rsidRPr="000749C9" w:rsidRDefault="000749C9" w:rsidP="000749C9">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SN1 – с</w:t>
      </w:r>
      <w:r w:rsidRPr="000749C9">
        <w:rPr>
          <w:rFonts w:ascii="Times New Roman" w:hAnsi="Times New Roman"/>
          <w:sz w:val="28"/>
          <w:szCs w:val="28"/>
        </w:rPr>
        <w:t>труктурные долговые ценные бумаги кредитных организаций – резидентов</w:t>
      </w:r>
      <w:r>
        <w:rPr>
          <w:rFonts w:ascii="Times New Roman" w:hAnsi="Times New Roman"/>
          <w:sz w:val="28"/>
          <w:szCs w:val="28"/>
        </w:rPr>
        <w:t>;</w:t>
      </w:r>
    </w:p>
    <w:p w14:paraId="52A1045E" w14:textId="0E196B3C" w:rsidR="000749C9" w:rsidRPr="000749C9" w:rsidRDefault="000749C9" w:rsidP="000749C9">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SN2 – с</w:t>
      </w:r>
      <w:r w:rsidRPr="000749C9">
        <w:rPr>
          <w:rFonts w:ascii="Times New Roman" w:hAnsi="Times New Roman"/>
          <w:sz w:val="28"/>
          <w:szCs w:val="28"/>
        </w:rPr>
        <w:t>труктурные долговые ценные бумаги прочих резидентов</w:t>
      </w:r>
      <w:r>
        <w:rPr>
          <w:rFonts w:ascii="Times New Roman" w:hAnsi="Times New Roman"/>
          <w:sz w:val="28"/>
          <w:szCs w:val="28"/>
        </w:rPr>
        <w:t>;</w:t>
      </w:r>
    </w:p>
    <w:p w14:paraId="06315DFF" w14:textId="65025D34" w:rsidR="000749C9" w:rsidRPr="000749C9" w:rsidRDefault="000749C9" w:rsidP="000749C9">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SN3 – с</w:t>
      </w:r>
      <w:r w:rsidRPr="000749C9">
        <w:rPr>
          <w:rFonts w:ascii="Times New Roman" w:hAnsi="Times New Roman"/>
          <w:sz w:val="28"/>
          <w:szCs w:val="28"/>
        </w:rPr>
        <w:t>труктурные долговые ценные бумаги банков-нерезидентов</w:t>
      </w:r>
      <w:r>
        <w:rPr>
          <w:rFonts w:ascii="Times New Roman" w:hAnsi="Times New Roman"/>
          <w:sz w:val="28"/>
          <w:szCs w:val="28"/>
        </w:rPr>
        <w:t>;</w:t>
      </w:r>
    </w:p>
    <w:p w14:paraId="2EEFBCEE" w14:textId="11E70FB3" w:rsidR="000749C9" w:rsidRPr="000749C9" w:rsidRDefault="000749C9" w:rsidP="000749C9">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SN4 – с</w:t>
      </w:r>
      <w:r w:rsidRPr="000749C9">
        <w:rPr>
          <w:rFonts w:ascii="Times New Roman" w:hAnsi="Times New Roman"/>
          <w:sz w:val="28"/>
          <w:szCs w:val="28"/>
        </w:rPr>
        <w:t>труктурные долговые ценные бумаги прочих нерезидентов</w:t>
      </w:r>
      <w:r>
        <w:rPr>
          <w:rFonts w:ascii="Times New Roman" w:hAnsi="Times New Roman"/>
          <w:sz w:val="28"/>
          <w:szCs w:val="28"/>
        </w:rPr>
        <w:t>;</w:t>
      </w:r>
    </w:p>
    <w:p w14:paraId="3E2FC044" w14:textId="442B7511" w:rsidR="000749C9" w:rsidRPr="000749C9" w:rsidRDefault="000749C9" w:rsidP="000749C9">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DR1 – д</w:t>
      </w:r>
      <w:r w:rsidRPr="000749C9">
        <w:rPr>
          <w:rFonts w:ascii="Times New Roman" w:hAnsi="Times New Roman"/>
          <w:sz w:val="28"/>
          <w:szCs w:val="28"/>
        </w:rPr>
        <w:t>епозитарные расписки на ценные бумаги резидентов</w:t>
      </w:r>
      <w:r>
        <w:rPr>
          <w:rFonts w:ascii="Times New Roman" w:hAnsi="Times New Roman"/>
          <w:sz w:val="28"/>
          <w:szCs w:val="28"/>
        </w:rPr>
        <w:t>;</w:t>
      </w:r>
    </w:p>
    <w:p w14:paraId="48EFC752" w14:textId="27F3A5C5" w:rsidR="000749C9" w:rsidRPr="000749C9" w:rsidRDefault="000749C9" w:rsidP="000749C9">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DR2 – д</w:t>
      </w:r>
      <w:r w:rsidRPr="000749C9">
        <w:rPr>
          <w:rFonts w:ascii="Times New Roman" w:hAnsi="Times New Roman"/>
          <w:sz w:val="28"/>
          <w:szCs w:val="28"/>
        </w:rPr>
        <w:t>епозитарные расписки на ценные бумаги нерезидентов</w:t>
      </w:r>
      <w:r>
        <w:rPr>
          <w:rFonts w:ascii="Times New Roman" w:hAnsi="Times New Roman"/>
          <w:sz w:val="28"/>
          <w:szCs w:val="28"/>
        </w:rPr>
        <w:t>;</w:t>
      </w:r>
    </w:p>
    <w:p w14:paraId="31BE6DBB" w14:textId="5C7D00B9" w:rsidR="000749C9" w:rsidRPr="000749C9" w:rsidRDefault="000749C9" w:rsidP="000749C9">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CON – с</w:t>
      </w:r>
      <w:r w:rsidRPr="000749C9">
        <w:rPr>
          <w:rFonts w:ascii="Times New Roman" w:hAnsi="Times New Roman"/>
          <w:sz w:val="28"/>
          <w:szCs w:val="28"/>
        </w:rPr>
        <w:t>кладские свидетельства</w:t>
      </w:r>
      <w:r>
        <w:rPr>
          <w:rFonts w:ascii="Times New Roman" w:hAnsi="Times New Roman"/>
          <w:sz w:val="28"/>
          <w:szCs w:val="28"/>
        </w:rPr>
        <w:t>;</w:t>
      </w:r>
    </w:p>
    <w:p w14:paraId="718469B6" w14:textId="7506B457" w:rsidR="000749C9" w:rsidRPr="000749C9" w:rsidRDefault="000749C9" w:rsidP="000749C9">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WTS – з</w:t>
      </w:r>
      <w:r w:rsidRPr="000749C9">
        <w:rPr>
          <w:rFonts w:ascii="Times New Roman" w:hAnsi="Times New Roman"/>
          <w:sz w:val="28"/>
          <w:szCs w:val="28"/>
        </w:rPr>
        <w:t>алоговые свидетельства (варранты)</w:t>
      </w:r>
      <w:r>
        <w:rPr>
          <w:rFonts w:ascii="Times New Roman" w:hAnsi="Times New Roman"/>
          <w:sz w:val="28"/>
          <w:szCs w:val="28"/>
        </w:rPr>
        <w:t>;</w:t>
      </w:r>
    </w:p>
    <w:p w14:paraId="7FD84F98" w14:textId="0A706A57" w:rsidR="000749C9" w:rsidRPr="000749C9" w:rsidRDefault="000749C9" w:rsidP="000749C9">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OPN – о</w:t>
      </w:r>
      <w:r w:rsidRPr="000749C9">
        <w:rPr>
          <w:rFonts w:ascii="Times New Roman" w:hAnsi="Times New Roman"/>
          <w:sz w:val="28"/>
          <w:szCs w:val="28"/>
        </w:rPr>
        <w:t>пционы эмитента</w:t>
      </w:r>
      <w:r>
        <w:rPr>
          <w:rFonts w:ascii="Times New Roman" w:hAnsi="Times New Roman"/>
          <w:sz w:val="28"/>
          <w:szCs w:val="28"/>
        </w:rPr>
        <w:t>;</w:t>
      </w:r>
    </w:p>
    <w:p w14:paraId="28726A63" w14:textId="07BAE5D6" w:rsidR="000749C9" w:rsidRPr="000749C9" w:rsidRDefault="000749C9" w:rsidP="000749C9">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KSU – к</w:t>
      </w:r>
      <w:r w:rsidRPr="000749C9">
        <w:rPr>
          <w:rFonts w:ascii="Times New Roman" w:hAnsi="Times New Roman"/>
          <w:sz w:val="28"/>
          <w:szCs w:val="28"/>
        </w:rPr>
        <w:t>лиринговые сертификаты участия</w:t>
      </w:r>
      <w:r>
        <w:rPr>
          <w:rFonts w:ascii="Times New Roman" w:hAnsi="Times New Roman"/>
          <w:sz w:val="28"/>
          <w:szCs w:val="28"/>
        </w:rPr>
        <w:t>;</w:t>
      </w:r>
    </w:p>
    <w:p w14:paraId="48682EA8" w14:textId="43AECC46" w:rsidR="000749C9" w:rsidRPr="000749C9" w:rsidRDefault="000749C9" w:rsidP="000749C9">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ISU – и</w:t>
      </w:r>
      <w:r w:rsidRPr="000749C9">
        <w:rPr>
          <w:rFonts w:ascii="Times New Roman" w:hAnsi="Times New Roman"/>
          <w:sz w:val="28"/>
          <w:szCs w:val="28"/>
        </w:rPr>
        <w:t>потечные сертификаты участия</w:t>
      </w:r>
      <w:r>
        <w:rPr>
          <w:rFonts w:ascii="Times New Roman" w:hAnsi="Times New Roman"/>
          <w:sz w:val="28"/>
          <w:szCs w:val="28"/>
        </w:rPr>
        <w:t>;</w:t>
      </w:r>
    </w:p>
    <w:p w14:paraId="615D7FC9" w14:textId="2CA11C56" w:rsidR="0097279C" w:rsidRDefault="000749C9" w:rsidP="000749C9">
      <w:pPr>
        <w:tabs>
          <w:tab w:val="left" w:pos="851"/>
          <w:tab w:val="left" w:pos="993"/>
        </w:tabs>
        <w:autoSpaceDE w:val="0"/>
        <w:autoSpaceDN w:val="0"/>
        <w:adjustRightInd w:val="0"/>
        <w:spacing w:after="0" w:line="360" w:lineRule="auto"/>
        <w:ind w:firstLine="709"/>
        <w:jc w:val="both"/>
        <w:outlineLvl w:val="0"/>
        <w:rPr>
          <w:rFonts w:ascii="Times New Roman" w:hAnsi="Times New Roman"/>
          <w:sz w:val="28"/>
          <w:szCs w:val="28"/>
        </w:rPr>
      </w:pPr>
      <w:r>
        <w:rPr>
          <w:rFonts w:ascii="Times New Roman" w:hAnsi="Times New Roman"/>
          <w:sz w:val="28"/>
          <w:szCs w:val="28"/>
        </w:rPr>
        <w:t>OTHER – и</w:t>
      </w:r>
      <w:r w:rsidRPr="000749C9">
        <w:rPr>
          <w:rFonts w:ascii="Times New Roman" w:hAnsi="Times New Roman"/>
          <w:sz w:val="28"/>
          <w:szCs w:val="28"/>
        </w:rPr>
        <w:t>ные типы ценных бумаг (виды финансовых инструментов) (в том числе иностранные финансовые инструменты, не квалифицированные в качестве ценных бумаг)</w:t>
      </w:r>
      <w:r>
        <w:rPr>
          <w:rFonts w:ascii="Times New Roman" w:hAnsi="Times New Roman"/>
          <w:sz w:val="28"/>
          <w:szCs w:val="28"/>
        </w:rPr>
        <w:t>.</w:t>
      </w:r>
    </w:p>
    <w:p w14:paraId="3BC8C770" w14:textId="50602BA3" w:rsidR="000749C9" w:rsidRPr="000749C9" w:rsidRDefault="000749C9" w:rsidP="00177950">
      <w:pPr>
        <w:pStyle w:val="a3"/>
        <w:numPr>
          <w:ilvl w:val="1"/>
          <w:numId w:val="15"/>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7B438D">
        <w:rPr>
          <w:rFonts w:ascii="Times New Roman" w:eastAsia="Calibri" w:hAnsi="Times New Roman"/>
          <w:color w:val="000000" w:themeColor="text1"/>
          <w:sz w:val="28"/>
          <w:szCs w:val="28"/>
        </w:rPr>
        <w:t>В граф</w:t>
      </w:r>
      <w:r w:rsidR="00177950">
        <w:rPr>
          <w:rFonts w:ascii="Times New Roman" w:eastAsia="Calibri" w:hAnsi="Times New Roman"/>
          <w:color w:val="000000" w:themeColor="text1"/>
          <w:sz w:val="28"/>
          <w:szCs w:val="28"/>
        </w:rPr>
        <w:t>е</w:t>
      </w:r>
      <w:r w:rsidRPr="007B438D">
        <w:rPr>
          <w:rFonts w:ascii="Times New Roman" w:eastAsia="Calibri" w:hAnsi="Times New Roman"/>
          <w:color w:val="000000" w:themeColor="text1"/>
          <w:sz w:val="28"/>
          <w:szCs w:val="28"/>
        </w:rPr>
        <w:t xml:space="preserve"> </w:t>
      </w:r>
      <w:r w:rsidR="00177950">
        <w:rPr>
          <w:rFonts w:ascii="Times New Roman" w:eastAsia="Calibri" w:hAnsi="Times New Roman"/>
          <w:color w:val="000000" w:themeColor="text1"/>
          <w:sz w:val="28"/>
          <w:szCs w:val="28"/>
        </w:rPr>
        <w:t>«</w:t>
      </w:r>
      <w:r w:rsidR="00177950" w:rsidRPr="00177950">
        <w:rPr>
          <w:rFonts w:ascii="Times New Roman" w:eastAsia="Calibri" w:hAnsi="Times New Roman"/>
          <w:color w:val="000000" w:themeColor="text1"/>
          <w:sz w:val="28"/>
          <w:szCs w:val="28"/>
        </w:rPr>
        <w:t>Регистрационный номер выпуска</w:t>
      </w:r>
      <w:r w:rsidR="00177950">
        <w:rPr>
          <w:rFonts w:ascii="Times New Roman" w:eastAsia="Calibri" w:hAnsi="Times New Roman"/>
          <w:color w:val="000000" w:themeColor="text1"/>
          <w:sz w:val="28"/>
          <w:szCs w:val="28"/>
        </w:rPr>
        <w:t>»</w:t>
      </w:r>
      <w:r w:rsidRPr="007B438D">
        <w:rPr>
          <w:rFonts w:ascii="Times New Roman" w:eastAsia="Calibri" w:hAnsi="Times New Roman"/>
          <w:color w:val="000000" w:themeColor="text1"/>
          <w:sz w:val="28"/>
          <w:szCs w:val="28"/>
        </w:rPr>
        <w:t xml:space="preserve"> </w:t>
      </w:r>
      <w:r w:rsidR="00177950" w:rsidRPr="007B438D">
        <w:rPr>
          <w:rFonts w:ascii="Times New Roman" w:eastAsia="Calibri" w:hAnsi="Times New Roman"/>
          <w:color w:val="000000" w:themeColor="text1"/>
          <w:sz w:val="28"/>
          <w:szCs w:val="28"/>
        </w:rPr>
        <w:t>подраздела 4.1 указыва</w:t>
      </w:r>
      <w:r w:rsidR="00177950">
        <w:rPr>
          <w:rFonts w:ascii="Times New Roman" w:eastAsia="Calibri" w:hAnsi="Times New Roman"/>
          <w:color w:val="000000" w:themeColor="text1"/>
          <w:sz w:val="28"/>
          <w:szCs w:val="28"/>
        </w:rPr>
        <w:t>е</w:t>
      </w:r>
      <w:r w:rsidR="00177950" w:rsidRPr="007B438D">
        <w:rPr>
          <w:rFonts w:ascii="Times New Roman" w:eastAsia="Calibri" w:hAnsi="Times New Roman"/>
          <w:color w:val="000000" w:themeColor="text1"/>
          <w:sz w:val="28"/>
          <w:szCs w:val="28"/>
        </w:rPr>
        <w:t>тся регистрационный номер выпуска ценной бумаги, присвоенный регистрационным органом в стране регистрации ее выпуск</w:t>
      </w:r>
      <w:r w:rsidR="00177950">
        <w:rPr>
          <w:rFonts w:ascii="Times New Roman" w:eastAsia="Calibri" w:hAnsi="Times New Roman"/>
          <w:color w:val="000000" w:themeColor="text1"/>
          <w:sz w:val="28"/>
          <w:szCs w:val="28"/>
        </w:rPr>
        <w:t xml:space="preserve">а, </w:t>
      </w:r>
      <w:r w:rsidR="00177950" w:rsidRPr="007B438D">
        <w:rPr>
          <w:rFonts w:ascii="Times New Roman" w:eastAsia="Calibri" w:hAnsi="Times New Roman"/>
          <w:color w:val="000000" w:themeColor="text1"/>
          <w:sz w:val="28"/>
          <w:szCs w:val="28"/>
        </w:rPr>
        <w:t xml:space="preserve">в порядке, установленном абзацами вторым – </w:t>
      </w:r>
      <w:r w:rsidR="00177950">
        <w:rPr>
          <w:rFonts w:ascii="Times New Roman" w:eastAsia="Calibri" w:hAnsi="Times New Roman"/>
          <w:color w:val="000000" w:themeColor="text1"/>
          <w:sz w:val="28"/>
          <w:szCs w:val="28"/>
        </w:rPr>
        <w:t xml:space="preserve">восьмым и </w:t>
      </w:r>
      <w:r w:rsidR="00177950" w:rsidRPr="007B438D">
        <w:rPr>
          <w:rFonts w:ascii="Times New Roman" w:eastAsia="Calibri" w:hAnsi="Times New Roman"/>
          <w:color w:val="000000" w:themeColor="text1"/>
          <w:sz w:val="28"/>
          <w:szCs w:val="28"/>
        </w:rPr>
        <w:t>десятым подпункта 5.</w:t>
      </w:r>
      <w:r w:rsidR="00177950">
        <w:rPr>
          <w:rFonts w:ascii="Times New Roman" w:eastAsia="Calibri" w:hAnsi="Times New Roman"/>
          <w:color w:val="000000" w:themeColor="text1"/>
          <w:sz w:val="28"/>
          <w:szCs w:val="28"/>
        </w:rPr>
        <w:t xml:space="preserve">3.3 </w:t>
      </w:r>
      <w:r w:rsidR="00177950" w:rsidRPr="007B438D">
        <w:rPr>
          <w:rFonts w:ascii="Times New Roman" w:eastAsia="Calibri" w:hAnsi="Times New Roman"/>
          <w:color w:val="000000" w:themeColor="text1"/>
          <w:sz w:val="28"/>
          <w:szCs w:val="28"/>
        </w:rPr>
        <w:t>пункта 5.</w:t>
      </w:r>
      <w:r w:rsidR="00177950">
        <w:rPr>
          <w:rFonts w:ascii="Times New Roman" w:eastAsia="Calibri" w:hAnsi="Times New Roman"/>
          <w:color w:val="000000" w:themeColor="text1"/>
          <w:sz w:val="28"/>
          <w:szCs w:val="28"/>
        </w:rPr>
        <w:t>3</w:t>
      </w:r>
      <w:r w:rsidR="00177950" w:rsidRPr="007B438D">
        <w:rPr>
          <w:rFonts w:ascii="Times New Roman" w:eastAsia="Calibri" w:hAnsi="Times New Roman"/>
          <w:color w:val="000000" w:themeColor="text1"/>
          <w:sz w:val="28"/>
          <w:szCs w:val="28"/>
        </w:rPr>
        <w:t xml:space="preserve"> настоящего Порядка.</w:t>
      </w:r>
      <w:r w:rsidRPr="007B438D">
        <w:rPr>
          <w:rFonts w:ascii="Times New Roman" w:eastAsia="Calibri" w:hAnsi="Times New Roman"/>
          <w:color w:val="000000" w:themeColor="text1"/>
          <w:sz w:val="28"/>
          <w:szCs w:val="28"/>
        </w:rPr>
        <w:t xml:space="preserve"> </w:t>
      </w:r>
      <w:r w:rsidR="00177950" w:rsidRPr="007B438D">
        <w:rPr>
          <w:rFonts w:ascii="Times New Roman" w:eastAsia="Calibri" w:hAnsi="Times New Roman"/>
          <w:color w:val="000000" w:themeColor="text1"/>
          <w:sz w:val="28"/>
          <w:szCs w:val="28"/>
        </w:rPr>
        <w:t>В граф</w:t>
      </w:r>
      <w:r w:rsidR="00177950">
        <w:rPr>
          <w:rFonts w:ascii="Times New Roman" w:eastAsia="Calibri" w:hAnsi="Times New Roman"/>
          <w:color w:val="000000" w:themeColor="text1"/>
          <w:sz w:val="28"/>
          <w:szCs w:val="28"/>
        </w:rPr>
        <w:t>е</w:t>
      </w:r>
      <w:r w:rsidR="00177950" w:rsidRPr="007B438D">
        <w:rPr>
          <w:rFonts w:ascii="Times New Roman" w:eastAsia="Calibri" w:hAnsi="Times New Roman"/>
          <w:color w:val="000000" w:themeColor="text1"/>
          <w:sz w:val="28"/>
          <w:szCs w:val="28"/>
        </w:rPr>
        <w:t xml:space="preserve"> </w:t>
      </w:r>
      <w:r w:rsidR="00177950">
        <w:rPr>
          <w:rFonts w:ascii="Times New Roman" w:eastAsia="Calibri" w:hAnsi="Times New Roman"/>
          <w:color w:val="000000" w:themeColor="text1"/>
          <w:sz w:val="28"/>
          <w:szCs w:val="28"/>
        </w:rPr>
        <w:t>«</w:t>
      </w:r>
      <w:r w:rsidR="00177950" w:rsidRPr="00177950">
        <w:rPr>
          <w:rFonts w:ascii="Times New Roman" w:eastAsia="Calibri" w:hAnsi="Times New Roman"/>
          <w:color w:val="000000" w:themeColor="text1"/>
          <w:sz w:val="28"/>
          <w:szCs w:val="28"/>
        </w:rPr>
        <w:t>Код ISIN ценной бумаги</w:t>
      </w:r>
      <w:r w:rsidR="00177950">
        <w:rPr>
          <w:rFonts w:ascii="Times New Roman" w:eastAsia="Calibri" w:hAnsi="Times New Roman"/>
          <w:color w:val="000000" w:themeColor="text1"/>
          <w:sz w:val="28"/>
          <w:szCs w:val="28"/>
        </w:rPr>
        <w:t>»</w:t>
      </w:r>
      <w:r w:rsidR="00177950" w:rsidRPr="00177950">
        <w:rPr>
          <w:rFonts w:ascii="Times New Roman" w:eastAsia="Calibri" w:hAnsi="Times New Roman"/>
          <w:color w:val="000000" w:themeColor="text1"/>
          <w:sz w:val="28"/>
          <w:szCs w:val="28"/>
        </w:rPr>
        <w:t xml:space="preserve"> </w:t>
      </w:r>
      <w:r w:rsidRPr="007B438D">
        <w:rPr>
          <w:rFonts w:ascii="Times New Roman" w:eastAsia="Calibri" w:hAnsi="Times New Roman"/>
          <w:color w:val="000000" w:themeColor="text1"/>
          <w:sz w:val="28"/>
          <w:szCs w:val="28"/>
        </w:rPr>
        <w:t>подраздела 4.1 указыва</w:t>
      </w:r>
      <w:r w:rsidR="00177950">
        <w:rPr>
          <w:rFonts w:ascii="Times New Roman" w:eastAsia="Calibri" w:hAnsi="Times New Roman"/>
          <w:color w:val="000000" w:themeColor="text1"/>
          <w:sz w:val="28"/>
          <w:szCs w:val="28"/>
        </w:rPr>
        <w:t>е</w:t>
      </w:r>
      <w:r w:rsidRPr="007B438D">
        <w:rPr>
          <w:rFonts w:ascii="Times New Roman" w:eastAsia="Calibri" w:hAnsi="Times New Roman"/>
          <w:color w:val="000000" w:themeColor="text1"/>
          <w:sz w:val="28"/>
          <w:szCs w:val="28"/>
        </w:rPr>
        <w:t xml:space="preserve">тся </w:t>
      </w:r>
      <w:r w:rsidR="00177950">
        <w:rPr>
          <w:rFonts w:ascii="Times New Roman" w:eastAsia="Calibri" w:hAnsi="Times New Roman"/>
          <w:color w:val="000000" w:themeColor="text1"/>
          <w:sz w:val="28"/>
          <w:szCs w:val="28"/>
        </w:rPr>
        <w:t>к</w:t>
      </w:r>
      <w:r w:rsidRPr="007B438D">
        <w:rPr>
          <w:rFonts w:ascii="Times New Roman" w:eastAsia="Calibri" w:hAnsi="Times New Roman"/>
          <w:color w:val="000000" w:themeColor="text1"/>
          <w:sz w:val="28"/>
          <w:szCs w:val="28"/>
        </w:rPr>
        <w:t xml:space="preserve">од </w:t>
      </w:r>
      <w:r w:rsidRPr="007B438D">
        <w:rPr>
          <w:rFonts w:ascii="Times New Roman" w:eastAsia="Calibri" w:hAnsi="Times New Roman"/>
          <w:color w:val="000000" w:themeColor="text1"/>
          <w:sz w:val="28"/>
          <w:szCs w:val="28"/>
          <w:lang w:val="en-US"/>
        </w:rPr>
        <w:t>ISIN</w:t>
      </w:r>
      <w:r w:rsidRPr="007B438D">
        <w:rPr>
          <w:rFonts w:ascii="Times New Roman" w:eastAsia="Calibri" w:hAnsi="Times New Roman"/>
          <w:color w:val="000000" w:themeColor="text1"/>
          <w:sz w:val="28"/>
          <w:szCs w:val="28"/>
        </w:rPr>
        <w:t xml:space="preserve"> в порядке, установленном абзац</w:t>
      </w:r>
      <w:r w:rsidR="00177950">
        <w:rPr>
          <w:rFonts w:ascii="Times New Roman" w:eastAsia="Calibri" w:hAnsi="Times New Roman"/>
          <w:color w:val="000000" w:themeColor="text1"/>
          <w:sz w:val="28"/>
          <w:szCs w:val="28"/>
        </w:rPr>
        <w:t>ем</w:t>
      </w:r>
      <w:r w:rsidRPr="007B438D">
        <w:rPr>
          <w:rFonts w:ascii="Times New Roman" w:eastAsia="Calibri" w:hAnsi="Times New Roman"/>
          <w:color w:val="000000" w:themeColor="text1"/>
          <w:sz w:val="28"/>
          <w:szCs w:val="28"/>
        </w:rPr>
        <w:t xml:space="preserve"> де</w:t>
      </w:r>
      <w:r w:rsidR="00177950">
        <w:rPr>
          <w:rFonts w:ascii="Times New Roman" w:eastAsia="Calibri" w:hAnsi="Times New Roman"/>
          <w:color w:val="000000" w:themeColor="text1"/>
          <w:sz w:val="28"/>
          <w:szCs w:val="28"/>
        </w:rPr>
        <w:t>вятым</w:t>
      </w:r>
      <w:r w:rsidRPr="007B438D">
        <w:rPr>
          <w:rFonts w:ascii="Times New Roman" w:eastAsia="Calibri" w:hAnsi="Times New Roman"/>
          <w:color w:val="000000" w:themeColor="text1"/>
          <w:sz w:val="28"/>
          <w:szCs w:val="28"/>
        </w:rPr>
        <w:t xml:space="preserve"> подпункта 5.</w:t>
      </w:r>
      <w:r w:rsidR="005918F5">
        <w:rPr>
          <w:rFonts w:ascii="Times New Roman" w:eastAsia="Calibri" w:hAnsi="Times New Roman"/>
          <w:color w:val="000000" w:themeColor="text1"/>
          <w:sz w:val="28"/>
          <w:szCs w:val="28"/>
        </w:rPr>
        <w:t xml:space="preserve">3.3 </w:t>
      </w:r>
      <w:r w:rsidRPr="007B438D">
        <w:rPr>
          <w:rFonts w:ascii="Times New Roman" w:eastAsia="Calibri" w:hAnsi="Times New Roman"/>
          <w:color w:val="000000" w:themeColor="text1"/>
          <w:sz w:val="28"/>
          <w:szCs w:val="28"/>
        </w:rPr>
        <w:t>пункта 5.</w:t>
      </w:r>
      <w:r w:rsidR="005918F5">
        <w:rPr>
          <w:rFonts w:ascii="Times New Roman" w:eastAsia="Calibri" w:hAnsi="Times New Roman"/>
          <w:color w:val="000000" w:themeColor="text1"/>
          <w:sz w:val="28"/>
          <w:szCs w:val="28"/>
        </w:rPr>
        <w:t>3</w:t>
      </w:r>
      <w:r w:rsidRPr="007B438D">
        <w:rPr>
          <w:rFonts w:ascii="Times New Roman" w:eastAsia="Calibri" w:hAnsi="Times New Roman"/>
          <w:color w:val="000000" w:themeColor="text1"/>
          <w:sz w:val="28"/>
          <w:szCs w:val="28"/>
        </w:rPr>
        <w:t xml:space="preserve"> настоящего Порядка.</w:t>
      </w:r>
    </w:p>
    <w:p w14:paraId="57D67FD3" w14:textId="19F62379" w:rsidR="000749C9" w:rsidRPr="000749C9" w:rsidRDefault="000749C9" w:rsidP="001629FC">
      <w:pPr>
        <w:pStyle w:val="a3"/>
        <w:numPr>
          <w:ilvl w:val="1"/>
          <w:numId w:val="15"/>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7B438D">
        <w:rPr>
          <w:rFonts w:ascii="Times New Roman" w:eastAsia="Calibri" w:hAnsi="Times New Roman"/>
          <w:color w:val="000000" w:themeColor="text1"/>
          <w:sz w:val="28"/>
          <w:szCs w:val="28"/>
        </w:rPr>
        <w:lastRenderedPageBreak/>
        <w:t xml:space="preserve">В графе </w:t>
      </w:r>
      <w:r w:rsidR="001629FC">
        <w:rPr>
          <w:rFonts w:ascii="Times New Roman" w:eastAsia="Calibri" w:hAnsi="Times New Roman"/>
          <w:color w:val="000000" w:themeColor="text1"/>
          <w:sz w:val="28"/>
          <w:szCs w:val="28"/>
        </w:rPr>
        <w:t>«</w:t>
      </w:r>
      <w:r w:rsidR="001629FC" w:rsidRPr="001629FC">
        <w:rPr>
          <w:rFonts w:ascii="Times New Roman" w:eastAsia="Calibri" w:hAnsi="Times New Roman"/>
          <w:color w:val="000000" w:themeColor="text1"/>
          <w:sz w:val="28"/>
          <w:szCs w:val="28"/>
        </w:rPr>
        <w:t>Код CFI</w:t>
      </w:r>
      <w:r w:rsidR="001629FC">
        <w:rPr>
          <w:rFonts w:ascii="Times New Roman" w:eastAsia="Calibri" w:hAnsi="Times New Roman"/>
          <w:color w:val="000000" w:themeColor="text1"/>
          <w:sz w:val="28"/>
          <w:szCs w:val="28"/>
        </w:rPr>
        <w:t>»</w:t>
      </w:r>
      <w:r w:rsidRPr="007B438D">
        <w:rPr>
          <w:rFonts w:ascii="Times New Roman" w:eastAsia="Calibri" w:hAnsi="Times New Roman"/>
          <w:color w:val="000000" w:themeColor="text1"/>
          <w:sz w:val="28"/>
          <w:szCs w:val="28"/>
        </w:rPr>
        <w:t xml:space="preserve"> подраздела 4.1 указывается международный код классификации финансовых инструментов (</w:t>
      </w:r>
      <w:proofErr w:type="spellStart"/>
      <w:r w:rsidRPr="007B438D">
        <w:rPr>
          <w:rFonts w:ascii="Times New Roman" w:eastAsia="Calibri" w:hAnsi="Times New Roman"/>
          <w:color w:val="000000" w:themeColor="text1"/>
          <w:sz w:val="28"/>
          <w:szCs w:val="28"/>
        </w:rPr>
        <w:t>Classification</w:t>
      </w:r>
      <w:proofErr w:type="spellEnd"/>
      <w:r w:rsidRPr="007B438D">
        <w:rPr>
          <w:rFonts w:ascii="Times New Roman" w:eastAsia="Calibri" w:hAnsi="Times New Roman"/>
          <w:color w:val="000000" w:themeColor="text1"/>
          <w:sz w:val="28"/>
          <w:szCs w:val="28"/>
        </w:rPr>
        <w:t xml:space="preserve"> </w:t>
      </w:r>
      <w:proofErr w:type="spellStart"/>
      <w:r w:rsidRPr="007B438D">
        <w:rPr>
          <w:rFonts w:ascii="Times New Roman" w:eastAsia="Calibri" w:hAnsi="Times New Roman"/>
          <w:color w:val="000000" w:themeColor="text1"/>
          <w:sz w:val="28"/>
          <w:szCs w:val="28"/>
        </w:rPr>
        <w:t>of</w:t>
      </w:r>
      <w:proofErr w:type="spellEnd"/>
      <w:r w:rsidRPr="007B438D">
        <w:rPr>
          <w:rFonts w:ascii="Times New Roman" w:eastAsia="Calibri" w:hAnsi="Times New Roman"/>
          <w:color w:val="000000" w:themeColor="text1"/>
          <w:sz w:val="28"/>
          <w:szCs w:val="28"/>
        </w:rPr>
        <w:t xml:space="preserve"> </w:t>
      </w:r>
      <w:proofErr w:type="spellStart"/>
      <w:r w:rsidRPr="007B438D">
        <w:rPr>
          <w:rFonts w:ascii="Times New Roman" w:eastAsia="Calibri" w:hAnsi="Times New Roman"/>
          <w:color w:val="000000" w:themeColor="text1"/>
          <w:sz w:val="28"/>
          <w:szCs w:val="28"/>
        </w:rPr>
        <w:t>Financial</w:t>
      </w:r>
      <w:proofErr w:type="spellEnd"/>
      <w:r w:rsidRPr="007B438D">
        <w:rPr>
          <w:rFonts w:ascii="Times New Roman" w:eastAsia="Calibri" w:hAnsi="Times New Roman"/>
          <w:color w:val="000000" w:themeColor="text1"/>
          <w:sz w:val="28"/>
          <w:szCs w:val="28"/>
        </w:rPr>
        <w:t xml:space="preserve"> </w:t>
      </w:r>
      <w:proofErr w:type="spellStart"/>
      <w:r w:rsidRPr="007B438D">
        <w:rPr>
          <w:rFonts w:ascii="Times New Roman" w:eastAsia="Calibri" w:hAnsi="Times New Roman"/>
          <w:color w:val="000000" w:themeColor="text1"/>
          <w:sz w:val="28"/>
          <w:szCs w:val="28"/>
        </w:rPr>
        <w:t>Instruments</w:t>
      </w:r>
      <w:proofErr w:type="spellEnd"/>
      <w:r w:rsidRPr="007B438D">
        <w:rPr>
          <w:rFonts w:ascii="Times New Roman" w:eastAsia="Calibri" w:hAnsi="Times New Roman"/>
          <w:color w:val="000000" w:themeColor="text1"/>
          <w:sz w:val="28"/>
          <w:szCs w:val="28"/>
        </w:rPr>
        <w:t>, CFI) (далее – код CFI) (при наличии). Для депозитарной расписки на ценные бумаги резидентов, депозитарной расписки на ценные бумаги нерезидентов отражается код CFI указанной депозитарной расписки.</w:t>
      </w:r>
    </w:p>
    <w:p w14:paraId="68F5B850" w14:textId="01D0DFA7" w:rsidR="000749C9" w:rsidRDefault="000749C9" w:rsidP="000749C9">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 xml:space="preserve">По </w:t>
      </w:r>
      <w:proofErr w:type="spellStart"/>
      <w:r w:rsidRPr="007B438D">
        <w:rPr>
          <w:rFonts w:ascii="Times New Roman" w:eastAsia="Calibri" w:hAnsi="Times New Roman"/>
          <w:color w:val="000000" w:themeColor="text1"/>
          <w:sz w:val="28"/>
          <w:szCs w:val="28"/>
        </w:rPr>
        <w:t>неэмиссионным</w:t>
      </w:r>
      <w:proofErr w:type="spellEnd"/>
      <w:r w:rsidRPr="007B438D">
        <w:rPr>
          <w:rFonts w:ascii="Times New Roman" w:eastAsia="Calibri" w:hAnsi="Times New Roman"/>
          <w:color w:val="000000" w:themeColor="text1"/>
          <w:sz w:val="28"/>
          <w:szCs w:val="28"/>
        </w:rPr>
        <w:t xml:space="preserve"> ценным бумагам графа </w:t>
      </w:r>
      <w:r w:rsidR="001629FC">
        <w:rPr>
          <w:rFonts w:ascii="Times New Roman" w:eastAsia="Calibri" w:hAnsi="Times New Roman"/>
          <w:color w:val="000000" w:themeColor="text1"/>
          <w:sz w:val="28"/>
          <w:szCs w:val="28"/>
        </w:rPr>
        <w:t>«</w:t>
      </w:r>
      <w:r w:rsidR="001629FC" w:rsidRPr="001629FC">
        <w:rPr>
          <w:rFonts w:ascii="Times New Roman" w:eastAsia="Calibri" w:hAnsi="Times New Roman"/>
          <w:color w:val="000000" w:themeColor="text1"/>
          <w:sz w:val="28"/>
          <w:szCs w:val="28"/>
        </w:rPr>
        <w:t>Код CFI</w:t>
      </w:r>
      <w:r w:rsidR="001629FC">
        <w:rPr>
          <w:rFonts w:ascii="Times New Roman" w:eastAsia="Calibri" w:hAnsi="Times New Roman"/>
          <w:color w:val="000000" w:themeColor="text1"/>
          <w:sz w:val="28"/>
          <w:szCs w:val="28"/>
        </w:rPr>
        <w:t>»</w:t>
      </w:r>
      <w:r w:rsidRPr="007B438D">
        <w:rPr>
          <w:rFonts w:ascii="Times New Roman" w:eastAsia="Calibri" w:hAnsi="Times New Roman"/>
          <w:color w:val="000000" w:themeColor="text1"/>
          <w:sz w:val="28"/>
          <w:szCs w:val="28"/>
        </w:rPr>
        <w:t xml:space="preserve"> подраздела 4.1 не заполняется.</w:t>
      </w:r>
    </w:p>
    <w:p w14:paraId="4329F4EC" w14:textId="14666D48" w:rsidR="000749C9" w:rsidRPr="000749C9" w:rsidRDefault="000749C9" w:rsidP="001629FC">
      <w:pPr>
        <w:pStyle w:val="a3"/>
        <w:numPr>
          <w:ilvl w:val="1"/>
          <w:numId w:val="15"/>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7B438D">
        <w:rPr>
          <w:rFonts w:ascii="Times New Roman" w:eastAsia="Calibri" w:hAnsi="Times New Roman"/>
          <w:color w:val="000000" w:themeColor="text1"/>
          <w:sz w:val="28"/>
          <w:szCs w:val="28"/>
        </w:rPr>
        <w:t xml:space="preserve">В графе </w:t>
      </w:r>
      <w:r w:rsidR="001629FC">
        <w:rPr>
          <w:rFonts w:ascii="Times New Roman" w:eastAsia="Calibri" w:hAnsi="Times New Roman"/>
          <w:color w:val="000000" w:themeColor="text1"/>
          <w:sz w:val="28"/>
          <w:szCs w:val="28"/>
        </w:rPr>
        <w:t>«</w:t>
      </w:r>
      <w:r w:rsidR="001629FC" w:rsidRPr="001629FC">
        <w:rPr>
          <w:rFonts w:ascii="Times New Roman" w:eastAsia="Calibri" w:hAnsi="Times New Roman"/>
          <w:color w:val="000000" w:themeColor="text1"/>
          <w:sz w:val="28"/>
          <w:szCs w:val="28"/>
        </w:rPr>
        <w:t>Код валюты ценной бумаги</w:t>
      </w:r>
      <w:r w:rsidR="001629FC">
        <w:rPr>
          <w:rFonts w:ascii="Times New Roman" w:eastAsia="Calibri" w:hAnsi="Times New Roman"/>
          <w:color w:val="000000" w:themeColor="text1"/>
          <w:sz w:val="28"/>
          <w:szCs w:val="28"/>
        </w:rPr>
        <w:t>»</w:t>
      </w:r>
      <w:r w:rsidRPr="007B438D">
        <w:rPr>
          <w:rFonts w:ascii="Times New Roman" w:eastAsia="Calibri" w:hAnsi="Times New Roman"/>
          <w:color w:val="000000" w:themeColor="text1"/>
          <w:sz w:val="28"/>
          <w:szCs w:val="28"/>
        </w:rPr>
        <w:t xml:space="preserve"> подраздела 4.1 указывается цифровой код валюты, в которой выражен номинал ценной бумаги, в соответствии с</w:t>
      </w:r>
      <w:r w:rsidRPr="007B438D">
        <w:rPr>
          <w:rFonts w:ascii="Times New Roman" w:hAnsi="Times New Roman"/>
          <w:color w:val="000000" w:themeColor="text1"/>
          <w:sz w:val="28"/>
          <w:szCs w:val="28"/>
        </w:rPr>
        <w:t xml:space="preserve"> </w:t>
      </w:r>
      <w:r w:rsidRPr="007B438D">
        <w:rPr>
          <w:rFonts w:ascii="Times New Roman" w:eastAsia="Calibri" w:hAnsi="Times New Roman"/>
          <w:color w:val="000000" w:themeColor="text1"/>
          <w:sz w:val="28"/>
          <w:szCs w:val="28"/>
        </w:rPr>
        <w:t>Общероссийским классификатором валют.</w:t>
      </w:r>
    </w:p>
    <w:p w14:paraId="61D0BAC5" w14:textId="0BA2CE14" w:rsidR="000749C9" w:rsidRPr="007B438D" w:rsidRDefault="000749C9" w:rsidP="000749C9">
      <w:pPr>
        <w:tabs>
          <w:tab w:val="left" w:pos="851"/>
          <w:tab w:val="left" w:pos="993"/>
          <w:tab w:val="left" w:pos="1134"/>
          <w:tab w:val="left" w:pos="1843"/>
        </w:tabs>
        <w:spacing w:after="0" w:line="360" w:lineRule="auto"/>
        <w:ind w:firstLine="709"/>
        <w:contextualSpacing/>
        <w:jc w:val="both"/>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В случае если ценная бумага не имеет номинальной стоимости, графа </w:t>
      </w:r>
      <w:r w:rsidR="001629FC">
        <w:rPr>
          <w:rFonts w:ascii="Times New Roman" w:eastAsia="Calibri" w:hAnsi="Times New Roman"/>
          <w:color w:val="000000" w:themeColor="text1"/>
          <w:sz w:val="28"/>
          <w:szCs w:val="28"/>
        </w:rPr>
        <w:t>«</w:t>
      </w:r>
      <w:r w:rsidR="001629FC" w:rsidRPr="001629FC">
        <w:rPr>
          <w:rFonts w:ascii="Times New Roman" w:eastAsia="Calibri" w:hAnsi="Times New Roman"/>
          <w:color w:val="000000" w:themeColor="text1"/>
          <w:sz w:val="28"/>
          <w:szCs w:val="28"/>
        </w:rPr>
        <w:t>Код валюты ценной бумаги</w:t>
      </w:r>
      <w:r w:rsidR="001629FC">
        <w:rPr>
          <w:rFonts w:ascii="Times New Roman" w:eastAsia="Calibri" w:hAnsi="Times New Roman"/>
          <w:color w:val="000000" w:themeColor="text1"/>
          <w:sz w:val="28"/>
          <w:szCs w:val="28"/>
        </w:rPr>
        <w:t>»</w:t>
      </w:r>
      <w:r w:rsidRPr="007B438D">
        <w:rPr>
          <w:rFonts w:ascii="Times New Roman" w:eastAsia="Calibri" w:hAnsi="Times New Roman"/>
          <w:color w:val="000000" w:themeColor="text1"/>
          <w:sz w:val="28"/>
          <w:szCs w:val="28"/>
        </w:rPr>
        <w:t xml:space="preserve"> подраздела 4.1 не заполняется.</w:t>
      </w:r>
    </w:p>
    <w:p w14:paraId="54F245F5" w14:textId="277F6D78" w:rsidR="000749C9" w:rsidRDefault="000749C9" w:rsidP="001629FC">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 xml:space="preserve">В случае если номинальная стоимость ценной бумаги выражена в драгоценных металлах, в графе </w:t>
      </w:r>
      <w:r w:rsidR="001629FC">
        <w:rPr>
          <w:rFonts w:ascii="Times New Roman" w:eastAsia="Calibri" w:hAnsi="Times New Roman"/>
          <w:color w:val="000000" w:themeColor="text1"/>
          <w:sz w:val="28"/>
          <w:szCs w:val="28"/>
        </w:rPr>
        <w:t>«</w:t>
      </w:r>
      <w:r w:rsidR="001629FC" w:rsidRPr="001629FC">
        <w:rPr>
          <w:rFonts w:ascii="Times New Roman" w:eastAsia="Calibri" w:hAnsi="Times New Roman"/>
          <w:color w:val="000000" w:themeColor="text1"/>
          <w:sz w:val="28"/>
          <w:szCs w:val="28"/>
        </w:rPr>
        <w:t>Код валюты ценной бумаги</w:t>
      </w:r>
      <w:r w:rsidR="001629FC">
        <w:rPr>
          <w:rFonts w:ascii="Times New Roman" w:eastAsia="Calibri" w:hAnsi="Times New Roman"/>
          <w:color w:val="000000" w:themeColor="text1"/>
          <w:sz w:val="28"/>
          <w:szCs w:val="28"/>
        </w:rPr>
        <w:t>»</w:t>
      </w:r>
      <w:r w:rsidRPr="007B438D">
        <w:rPr>
          <w:rFonts w:ascii="Times New Roman" w:eastAsia="Calibri" w:hAnsi="Times New Roman"/>
          <w:color w:val="000000" w:themeColor="text1"/>
          <w:sz w:val="28"/>
          <w:szCs w:val="28"/>
        </w:rPr>
        <w:t xml:space="preserve"> подраздела 4.1 указывается код валюты «643».</w:t>
      </w:r>
    </w:p>
    <w:p w14:paraId="392BB737" w14:textId="406E6994" w:rsidR="00540D49" w:rsidRPr="00540D49" w:rsidRDefault="00540D49" w:rsidP="001629FC">
      <w:pPr>
        <w:pStyle w:val="a3"/>
        <w:numPr>
          <w:ilvl w:val="1"/>
          <w:numId w:val="15"/>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7B438D">
        <w:rPr>
          <w:rFonts w:ascii="Times New Roman" w:hAnsi="Times New Roman"/>
          <w:color w:val="000000" w:themeColor="text1"/>
          <w:sz w:val="28"/>
          <w:szCs w:val="28"/>
        </w:rPr>
        <w:t xml:space="preserve">В графе </w:t>
      </w:r>
      <w:r w:rsidR="001629FC">
        <w:rPr>
          <w:rFonts w:ascii="Times New Roman" w:hAnsi="Times New Roman"/>
          <w:color w:val="000000" w:themeColor="text1"/>
          <w:sz w:val="28"/>
          <w:szCs w:val="28"/>
        </w:rPr>
        <w:t>«</w:t>
      </w:r>
      <w:r w:rsidR="001629FC" w:rsidRPr="001629FC">
        <w:rPr>
          <w:rFonts w:ascii="Times New Roman" w:hAnsi="Times New Roman"/>
          <w:color w:val="000000" w:themeColor="text1"/>
          <w:sz w:val="28"/>
          <w:szCs w:val="28"/>
        </w:rPr>
        <w:t>Номинальная стоимость ценной бумаги</w:t>
      </w:r>
      <w:r w:rsidR="001629FC">
        <w:rPr>
          <w:rFonts w:ascii="Times New Roman" w:hAnsi="Times New Roman"/>
          <w:color w:val="000000" w:themeColor="text1"/>
          <w:sz w:val="28"/>
          <w:szCs w:val="28"/>
        </w:rPr>
        <w:t>»</w:t>
      </w:r>
      <w:r w:rsidRPr="007B438D">
        <w:rPr>
          <w:rFonts w:ascii="Times New Roman" w:hAnsi="Times New Roman"/>
          <w:color w:val="000000" w:themeColor="text1"/>
          <w:sz w:val="28"/>
          <w:szCs w:val="28"/>
        </w:rPr>
        <w:t xml:space="preserve"> подраздела 4.1 указывается номинальная стоимость одной ценной бумаги. Номинальная стоимость ценной бумаги указывается в единицах валюты номинала. В случае если условиями выпуска эмиссионной ценной бумаги предусмотрено погашение ее номинальной стоимости частями, в графе </w:t>
      </w:r>
      <w:r w:rsidR="001629FC">
        <w:rPr>
          <w:rFonts w:ascii="Times New Roman" w:hAnsi="Times New Roman"/>
          <w:color w:val="000000" w:themeColor="text1"/>
          <w:sz w:val="28"/>
          <w:szCs w:val="28"/>
        </w:rPr>
        <w:t>«</w:t>
      </w:r>
      <w:r w:rsidR="001629FC" w:rsidRPr="001629FC">
        <w:rPr>
          <w:rFonts w:ascii="Times New Roman" w:hAnsi="Times New Roman"/>
          <w:color w:val="000000" w:themeColor="text1"/>
          <w:sz w:val="28"/>
          <w:szCs w:val="28"/>
        </w:rPr>
        <w:t>Номинальная стоимость ценной бумаги</w:t>
      </w:r>
      <w:r w:rsidR="001629FC">
        <w:rPr>
          <w:rFonts w:ascii="Times New Roman" w:hAnsi="Times New Roman"/>
          <w:color w:val="000000" w:themeColor="text1"/>
          <w:sz w:val="28"/>
          <w:szCs w:val="28"/>
        </w:rPr>
        <w:t>»</w:t>
      </w:r>
      <w:r w:rsidRPr="007B438D">
        <w:rPr>
          <w:rFonts w:ascii="Times New Roman" w:hAnsi="Times New Roman"/>
          <w:color w:val="000000" w:themeColor="text1"/>
          <w:sz w:val="28"/>
          <w:szCs w:val="28"/>
        </w:rPr>
        <w:t xml:space="preserve"> подраздела 4.1 указывается непогашенная часть номинальной стоимости ценной бумаги по состоянию на конец последнего календарного дня отчетного периода. В случае если условиями выпуска эмиссионной ценной бумаги предусмотрена индексация номинальной стоимости, в графе </w:t>
      </w:r>
      <w:r w:rsidR="001629FC">
        <w:rPr>
          <w:rFonts w:ascii="Times New Roman" w:hAnsi="Times New Roman"/>
          <w:color w:val="000000" w:themeColor="text1"/>
          <w:sz w:val="28"/>
          <w:szCs w:val="28"/>
        </w:rPr>
        <w:t>«</w:t>
      </w:r>
      <w:r w:rsidR="001629FC" w:rsidRPr="001629FC">
        <w:rPr>
          <w:rFonts w:ascii="Times New Roman" w:hAnsi="Times New Roman"/>
          <w:color w:val="000000" w:themeColor="text1"/>
          <w:sz w:val="28"/>
          <w:szCs w:val="28"/>
        </w:rPr>
        <w:t>Номинальная стоимость ценной бумаги</w:t>
      </w:r>
      <w:r w:rsidR="001629FC">
        <w:rPr>
          <w:rFonts w:ascii="Times New Roman" w:hAnsi="Times New Roman"/>
          <w:color w:val="000000" w:themeColor="text1"/>
          <w:sz w:val="28"/>
          <w:szCs w:val="28"/>
        </w:rPr>
        <w:t>»</w:t>
      </w:r>
      <w:r w:rsidRPr="007B438D">
        <w:rPr>
          <w:rFonts w:ascii="Times New Roman" w:hAnsi="Times New Roman"/>
          <w:color w:val="000000" w:themeColor="text1"/>
          <w:sz w:val="28"/>
          <w:szCs w:val="28"/>
        </w:rPr>
        <w:t xml:space="preserve"> подраздела 4.1 указывается индексированная номинальная стоимость ценной бумаги по состоянию на конец последнего календарного дня отчетного периода. В случае если </w:t>
      </w:r>
      <w:proofErr w:type="spellStart"/>
      <w:r w:rsidRPr="007B438D">
        <w:rPr>
          <w:rFonts w:ascii="Times New Roman" w:hAnsi="Times New Roman"/>
          <w:color w:val="000000" w:themeColor="text1"/>
          <w:sz w:val="28"/>
          <w:szCs w:val="28"/>
        </w:rPr>
        <w:t>неэмиссионная</w:t>
      </w:r>
      <w:proofErr w:type="spellEnd"/>
      <w:r w:rsidRPr="007B438D">
        <w:rPr>
          <w:rFonts w:ascii="Times New Roman" w:hAnsi="Times New Roman"/>
          <w:color w:val="000000" w:themeColor="text1"/>
          <w:sz w:val="28"/>
          <w:szCs w:val="28"/>
        </w:rPr>
        <w:t xml:space="preserve"> ценная бумага в качестве обязательного реквизита содержит сумму основного обязательства, которая может изменяться (уменьшаться) в течение периода обращения ценной бумаги в связи с </w:t>
      </w:r>
      <w:r w:rsidRPr="007B438D">
        <w:rPr>
          <w:rFonts w:ascii="Times New Roman" w:hAnsi="Times New Roman"/>
          <w:color w:val="000000" w:themeColor="text1"/>
          <w:sz w:val="28"/>
          <w:szCs w:val="28"/>
        </w:rPr>
        <w:lastRenderedPageBreak/>
        <w:t xml:space="preserve">возможностью погашения суммы обязательств по частям, в графе </w:t>
      </w:r>
      <w:r w:rsidR="001629FC">
        <w:rPr>
          <w:rFonts w:ascii="Times New Roman" w:hAnsi="Times New Roman"/>
          <w:color w:val="000000" w:themeColor="text1"/>
          <w:sz w:val="28"/>
          <w:szCs w:val="28"/>
        </w:rPr>
        <w:t>«</w:t>
      </w:r>
      <w:r w:rsidR="001629FC" w:rsidRPr="001629FC">
        <w:rPr>
          <w:rFonts w:ascii="Times New Roman" w:hAnsi="Times New Roman"/>
          <w:color w:val="000000" w:themeColor="text1"/>
          <w:sz w:val="28"/>
          <w:szCs w:val="28"/>
        </w:rPr>
        <w:t>Номинальная стоимость ценной бумаги</w:t>
      </w:r>
      <w:r w:rsidR="001629FC">
        <w:rPr>
          <w:rFonts w:ascii="Times New Roman" w:hAnsi="Times New Roman"/>
          <w:color w:val="000000" w:themeColor="text1"/>
          <w:sz w:val="28"/>
          <w:szCs w:val="28"/>
        </w:rPr>
        <w:t xml:space="preserve">» </w:t>
      </w:r>
      <w:r w:rsidRPr="007B438D">
        <w:rPr>
          <w:rFonts w:ascii="Times New Roman" w:hAnsi="Times New Roman"/>
          <w:color w:val="000000" w:themeColor="text1"/>
          <w:sz w:val="28"/>
          <w:szCs w:val="28"/>
        </w:rPr>
        <w:t xml:space="preserve">подраздела 4.1 указывается остаточная сумма обязательства по состоянию на конец последнего календарного дня отчетного периода. При этом по </w:t>
      </w:r>
      <w:proofErr w:type="spellStart"/>
      <w:r w:rsidRPr="007B438D">
        <w:rPr>
          <w:rFonts w:ascii="Times New Roman" w:hAnsi="Times New Roman"/>
          <w:color w:val="000000" w:themeColor="text1"/>
          <w:sz w:val="28"/>
          <w:szCs w:val="28"/>
        </w:rPr>
        <w:t>неэмиссионным</w:t>
      </w:r>
      <w:proofErr w:type="spellEnd"/>
      <w:r w:rsidRPr="007B438D">
        <w:rPr>
          <w:rFonts w:ascii="Times New Roman" w:hAnsi="Times New Roman"/>
          <w:color w:val="000000" w:themeColor="text1"/>
          <w:sz w:val="28"/>
          <w:szCs w:val="28"/>
        </w:rPr>
        <w:t xml:space="preserve"> ценным бумагам сумма основного обязательства указывается без учета процентов, штрафов, пеней и тому подобного. По ИСУ в графе </w:t>
      </w:r>
      <w:r w:rsidR="001629FC">
        <w:rPr>
          <w:rFonts w:ascii="Times New Roman" w:hAnsi="Times New Roman"/>
          <w:color w:val="000000" w:themeColor="text1"/>
          <w:sz w:val="28"/>
          <w:szCs w:val="28"/>
        </w:rPr>
        <w:t>«</w:t>
      </w:r>
      <w:r w:rsidR="001629FC" w:rsidRPr="001629FC">
        <w:rPr>
          <w:rFonts w:ascii="Times New Roman" w:hAnsi="Times New Roman"/>
          <w:color w:val="000000" w:themeColor="text1"/>
          <w:sz w:val="28"/>
          <w:szCs w:val="28"/>
        </w:rPr>
        <w:t>Номинальная стоимость ценной бумаги</w:t>
      </w:r>
      <w:r w:rsidR="001629FC">
        <w:rPr>
          <w:rFonts w:ascii="Times New Roman" w:hAnsi="Times New Roman"/>
          <w:color w:val="000000" w:themeColor="text1"/>
          <w:sz w:val="28"/>
          <w:szCs w:val="28"/>
        </w:rPr>
        <w:t>»</w:t>
      </w:r>
      <w:r w:rsidRPr="007B438D">
        <w:rPr>
          <w:rFonts w:ascii="Times New Roman" w:hAnsi="Times New Roman"/>
          <w:color w:val="000000" w:themeColor="text1"/>
          <w:sz w:val="28"/>
          <w:szCs w:val="28"/>
        </w:rPr>
        <w:t xml:space="preserve"> подраздела 4.1 указывается размер ипотечного покрытия, обеспеченного ИСУ, в расчете на один ИСУ.</w:t>
      </w:r>
    </w:p>
    <w:p w14:paraId="1B5409F3" w14:textId="232A0FFD" w:rsidR="00540D49" w:rsidRDefault="00540D49" w:rsidP="00540D49">
      <w:pPr>
        <w:tabs>
          <w:tab w:val="left" w:pos="851"/>
          <w:tab w:val="left" w:pos="993"/>
        </w:tabs>
        <w:autoSpaceDE w:val="0"/>
        <w:autoSpaceDN w:val="0"/>
        <w:adjustRightInd w:val="0"/>
        <w:spacing w:after="0" w:line="360" w:lineRule="auto"/>
        <w:ind w:firstLine="709"/>
        <w:jc w:val="both"/>
        <w:outlineLvl w:val="0"/>
        <w:rPr>
          <w:rFonts w:ascii="Times New Roman" w:hAnsi="Times New Roman"/>
          <w:color w:val="000000" w:themeColor="text1"/>
          <w:sz w:val="28"/>
          <w:szCs w:val="28"/>
        </w:rPr>
      </w:pPr>
      <w:r w:rsidRPr="007B438D">
        <w:rPr>
          <w:rFonts w:ascii="Times New Roman" w:hAnsi="Times New Roman"/>
          <w:color w:val="000000" w:themeColor="text1"/>
          <w:sz w:val="28"/>
          <w:szCs w:val="28"/>
        </w:rPr>
        <w:t xml:space="preserve">В случае если ценная бумага не имеет номинальной стоимости, графа </w:t>
      </w:r>
      <w:r w:rsidR="001629FC">
        <w:rPr>
          <w:rFonts w:ascii="Times New Roman" w:hAnsi="Times New Roman"/>
          <w:color w:val="000000" w:themeColor="text1"/>
          <w:sz w:val="28"/>
          <w:szCs w:val="28"/>
        </w:rPr>
        <w:t>«</w:t>
      </w:r>
      <w:r w:rsidR="001629FC" w:rsidRPr="001629FC">
        <w:rPr>
          <w:rFonts w:ascii="Times New Roman" w:hAnsi="Times New Roman"/>
          <w:color w:val="000000" w:themeColor="text1"/>
          <w:sz w:val="28"/>
          <w:szCs w:val="28"/>
        </w:rPr>
        <w:t>Номинальная стоимость ценной бумаги</w:t>
      </w:r>
      <w:r w:rsidR="001629FC">
        <w:rPr>
          <w:rFonts w:ascii="Times New Roman" w:hAnsi="Times New Roman"/>
          <w:color w:val="000000" w:themeColor="text1"/>
          <w:sz w:val="28"/>
          <w:szCs w:val="28"/>
        </w:rPr>
        <w:t xml:space="preserve">» </w:t>
      </w:r>
      <w:r w:rsidRPr="007B438D">
        <w:rPr>
          <w:rFonts w:ascii="Times New Roman" w:hAnsi="Times New Roman"/>
          <w:color w:val="000000" w:themeColor="text1"/>
          <w:sz w:val="28"/>
          <w:szCs w:val="28"/>
        </w:rPr>
        <w:t>подраздела 4.1 не заполняется.</w:t>
      </w:r>
    </w:p>
    <w:p w14:paraId="3B2D8955" w14:textId="7D14740A" w:rsidR="00540D49" w:rsidRPr="00540D49" w:rsidRDefault="00540D49" w:rsidP="001629FC">
      <w:pPr>
        <w:pStyle w:val="a3"/>
        <w:numPr>
          <w:ilvl w:val="1"/>
          <w:numId w:val="15"/>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7B438D">
        <w:rPr>
          <w:rFonts w:ascii="Times New Roman" w:eastAsia="Calibri" w:hAnsi="Times New Roman"/>
          <w:color w:val="000000" w:themeColor="text1"/>
          <w:sz w:val="28"/>
          <w:szCs w:val="28"/>
        </w:rPr>
        <w:t xml:space="preserve">В графе </w:t>
      </w:r>
      <w:r w:rsidR="001629FC">
        <w:rPr>
          <w:rFonts w:ascii="Times New Roman" w:eastAsia="Calibri" w:hAnsi="Times New Roman"/>
          <w:color w:val="000000" w:themeColor="text1"/>
          <w:sz w:val="28"/>
          <w:szCs w:val="28"/>
        </w:rPr>
        <w:t>«</w:t>
      </w:r>
      <w:r w:rsidR="001629FC" w:rsidRPr="001629FC">
        <w:rPr>
          <w:rFonts w:ascii="Times New Roman" w:eastAsia="Calibri" w:hAnsi="Times New Roman"/>
          <w:color w:val="000000" w:themeColor="text1"/>
          <w:sz w:val="28"/>
          <w:szCs w:val="28"/>
        </w:rPr>
        <w:t>Наименование эмитента ценной бумаги</w:t>
      </w:r>
      <w:r w:rsidR="001629FC">
        <w:rPr>
          <w:rFonts w:ascii="Times New Roman" w:eastAsia="Calibri" w:hAnsi="Times New Roman"/>
          <w:color w:val="000000" w:themeColor="text1"/>
          <w:sz w:val="28"/>
          <w:szCs w:val="28"/>
        </w:rPr>
        <w:t>»</w:t>
      </w:r>
      <w:r w:rsidRPr="007B438D">
        <w:rPr>
          <w:rFonts w:ascii="Times New Roman" w:eastAsia="Calibri" w:hAnsi="Times New Roman"/>
          <w:color w:val="000000" w:themeColor="text1"/>
          <w:sz w:val="28"/>
          <w:szCs w:val="28"/>
        </w:rPr>
        <w:t xml:space="preserve"> подраздела 4.1 </w:t>
      </w:r>
      <w:r w:rsidRPr="007B438D">
        <w:rPr>
          <w:rFonts w:ascii="Times New Roman" w:hAnsi="Times New Roman"/>
          <w:color w:val="000000" w:themeColor="text1"/>
          <w:sz w:val="28"/>
          <w:szCs w:val="28"/>
        </w:rPr>
        <w:t>указываются краткие (унифицированные) наименования эмитентов ценных бумаг (лиц, обязанных по ценным бумагам)</w:t>
      </w:r>
      <w:r>
        <w:rPr>
          <w:rFonts w:ascii="Times New Roman" w:hAnsi="Times New Roman"/>
          <w:color w:val="000000" w:themeColor="text1"/>
          <w:sz w:val="28"/>
          <w:szCs w:val="28"/>
        </w:rPr>
        <w:t xml:space="preserve"> </w:t>
      </w:r>
      <w:r w:rsidRPr="007B438D">
        <w:rPr>
          <w:rFonts w:ascii="Times New Roman" w:hAnsi="Times New Roman"/>
          <w:color w:val="000000" w:themeColor="text1"/>
          <w:sz w:val="28"/>
          <w:szCs w:val="28"/>
        </w:rPr>
        <w:t>из Справочника ИНН и ОГРН.</w:t>
      </w:r>
    </w:p>
    <w:p w14:paraId="206A8AE4" w14:textId="5E5D5B84" w:rsidR="00540D49" w:rsidRPr="007B438D" w:rsidRDefault="00540D49" w:rsidP="00540D49">
      <w:pPr>
        <w:tabs>
          <w:tab w:val="left" w:pos="284"/>
          <w:tab w:val="left" w:pos="1134"/>
        </w:tabs>
        <w:spacing w:after="0" w:line="360" w:lineRule="auto"/>
        <w:ind w:firstLine="709"/>
        <w:jc w:val="both"/>
        <w:rPr>
          <w:rFonts w:ascii="Times New Roman" w:eastAsia="Calibri" w:hAnsi="Times New Roman"/>
          <w:color w:val="000000" w:themeColor="text1"/>
          <w:sz w:val="28"/>
          <w:szCs w:val="28"/>
        </w:rPr>
      </w:pPr>
      <w:r w:rsidRPr="007B438D">
        <w:rPr>
          <w:rFonts w:ascii="Times New Roman" w:hAnsi="Times New Roman"/>
          <w:color w:val="000000" w:themeColor="text1"/>
          <w:sz w:val="28"/>
          <w:szCs w:val="28"/>
        </w:rPr>
        <w:t xml:space="preserve">В случае отсутствия кратких (унифицированных) наименований эмитентов ценных бумаг (лиц, обязанных по ценным бумагам) в Справочнике ИНН и ОГРН в графе </w:t>
      </w:r>
      <w:r w:rsidR="001629FC">
        <w:rPr>
          <w:rFonts w:ascii="Times New Roman" w:hAnsi="Times New Roman"/>
          <w:color w:val="000000" w:themeColor="text1"/>
          <w:sz w:val="28"/>
          <w:szCs w:val="28"/>
        </w:rPr>
        <w:t>«</w:t>
      </w:r>
      <w:r w:rsidR="001629FC" w:rsidRPr="001629FC">
        <w:rPr>
          <w:rFonts w:ascii="Times New Roman" w:hAnsi="Times New Roman"/>
          <w:color w:val="000000" w:themeColor="text1"/>
          <w:sz w:val="28"/>
          <w:szCs w:val="28"/>
        </w:rPr>
        <w:t>Наименование эмитента ценной бумаги</w:t>
      </w:r>
      <w:r w:rsidR="001629FC">
        <w:rPr>
          <w:rFonts w:ascii="Times New Roman" w:hAnsi="Times New Roman"/>
          <w:color w:val="000000" w:themeColor="text1"/>
          <w:sz w:val="28"/>
          <w:szCs w:val="28"/>
        </w:rPr>
        <w:t>»</w:t>
      </w:r>
      <w:r w:rsidRPr="007B438D">
        <w:rPr>
          <w:rFonts w:ascii="Times New Roman" w:hAnsi="Times New Roman"/>
          <w:color w:val="000000" w:themeColor="text1"/>
          <w:sz w:val="28"/>
          <w:szCs w:val="28"/>
        </w:rPr>
        <w:t xml:space="preserve"> подраздела 4.1 отражается полное (фирменное) наименование для юридических лиц.</w:t>
      </w:r>
    </w:p>
    <w:p w14:paraId="325F1B34" w14:textId="77777777" w:rsidR="00540D49" w:rsidRPr="007B438D" w:rsidRDefault="00540D49" w:rsidP="00540D49">
      <w:pPr>
        <w:tabs>
          <w:tab w:val="left" w:pos="1134"/>
        </w:tabs>
        <w:autoSpaceDE w:val="0"/>
        <w:autoSpaceDN w:val="0"/>
        <w:adjustRightInd w:val="0"/>
        <w:spacing w:after="0" w:line="360" w:lineRule="auto"/>
        <w:ind w:firstLine="709"/>
        <w:jc w:val="both"/>
        <w:rPr>
          <w:rFonts w:ascii="Times New Roman" w:eastAsia="Calibri" w:hAnsi="Times New Roman"/>
          <w:color w:val="000000" w:themeColor="text1"/>
          <w:sz w:val="28"/>
          <w:szCs w:val="28"/>
        </w:rPr>
      </w:pPr>
      <w:r w:rsidRPr="007B438D">
        <w:rPr>
          <w:rFonts w:ascii="Times New Roman" w:hAnsi="Times New Roman"/>
          <w:color w:val="000000" w:themeColor="text1"/>
          <w:sz w:val="28"/>
          <w:szCs w:val="28"/>
        </w:rPr>
        <w:t>При этом указываются:</w:t>
      </w:r>
    </w:p>
    <w:p w14:paraId="6E40B6E4" w14:textId="34CD3719" w:rsidR="00540D49" w:rsidRDefault="00540D49" w:rsidP="00540D49">
      <w:pPr>
        <w:tabs>
          <w:tab w:val="left" w:pos="851"/>
          <w:tab w:val="left" w:pos="993"/>
        </w:tabs>
        <w:autoSpaceDE w:val="0"/>
        <w:autoSpaceDN w:val="0"/>
        <w:adjustRightInd w:val="0"/>
        <w:spacing w:after="0" w:line="360" w:lineRule="auto"/>
        <w:ind w:firstLine="709"/>
        <w:jc w:val="both"/>
        <w:outlineLvl w:val="0"/>
        <w:rPr>
          <w:rFonts w:ascii="Times New Roman" w:hAnsi="Times New Roman"/>
          <w:color w:val="000000" w:themeColor="text1"/>
          <w:sz w:val="28"/>
          <w:szCs w:val="28"/>
        </w:rPr>
      </w:pPr>
      <w:r w:rsidRPr="007B438D">
        <w:rPr>
          <w:rFonts w:ascii="Times New Roman" w:hAnsi="Times New Roman"/>
          <w:color w:val="000000" w:themeColor="text1"/>
          <w:sz w:val="28"/>
          <w:szCs w:val="28"/>
        </w:rPr>
        <w:t>для депозитарных расписок на ценные бумаги резидентов, депозитарных расписок на ценные бумаги нерезидентов – наименование эмитента представляемых ценных бумаг;</w:t>
      </w:r>
    </w:p>
    <w:p w14:paraId="46CB8CC6" w14:textId="77777777" w:rsidR="00540D49" w:rsidRPr="007B438D" w:rsidRDefault="00540D49" w:rsidP="00540D49">
      <w:pPr>
        <w:tabs>
          <w:tab w:val="left" w:pos="284"/>
          <w:tab w:val="left" w:pos="1134"/>
        </w:tabs>
        <w:spacing w:after="0" w:line="360" w:lineRule="auto"/>
        <w:ind w:firstLine="709"/>
        <w:jc w:val="both"/>
        <w:rPr>
          <w:rFonts w:ascii="Times New Roman" w:hAnsi="Times New Roman"/>
          <w:color w:val="000000" w:themeColor="text1"/>
          <w:sz w:val="28"/>
          <w:szCs w:val="28"/>
        </w:rPr>
      </w:pPr>
      <w:r w:rsidRPr="007B438D">
        <w:rPr>
          <w:rFonts w:ascii="Times New Roman" w:hAnsi="Times New Roman"/>
          <w:color w:val="000000" w:themeColor="text1"/>
          <w:sz w:val="28"/>
          <w:szCs w:val="28"/>
        </w:rPr>
        <w:t>для инвестиционных паев паевого инвестиционного фонда – наименование управляющей компании паевого инвестиционного фонда и в скобках название паевого инвестиционного фонда;</w:t>
      </w:r>
    </w:p>
    <w:p w14:paraId="09E46CC9" w14:textId="77777777" w:rsidR="00540D49" w:rsidRPr="007B438D" w:rsidRDefault="00540D49" w:rsidP="00540D49">
      <w:pPr>
        <w:tabs>
          <w:tab w:val="left" w:pos="284"/>
          <w:tab w:val="left" w:pos="1134"/>
        </w:tabs>
        <w:spacing w:after="0" w:line="360" w:lineRule="auto"/>
        <w:ind w:firstLine="709"/>
        <w:jc w:val="both"/>
        <w:rPr>
          <w:rFonts w:ascii="Times New Roman" w:hAnsi="Times New Roman"/>
          <w:color w:val="000000" w:themeColor="text1"/>
          <w:sz w:val="28"/>
          <w:szCs w:val="28"/>
        </w:rPr>
      </w:pPr>
      <w:r w:rsidRPr="007B438D">
        <w:rPr>
          <w:rFonts w:ascii="Times New Roman" w:hAnsi="Times New Roman"/>
          <w:color w:val="000000" w:themeColor="text1"/>
          <w:sz w:val="28"/>
          <w:szCs w:val="28"/>
        </w:rPr>
        <w:t>для клиринговых сертификатов участия – наименование клиринговой организации, сформировавшей имущественный пул, и в скобках индивидуальное обозначение имущественного пула;</w:t>
      </w:r>
    </w:p>
    <w:p w14:paraId="1B2E213B" w14:textId="77777777" w:rsidR="00540D49" w:rsidRPr="007B438D" w:rsidRDefault="00540D49" w:rsidP="00540D49">
      <w:pPr>
        <w:tabs>
          <w:tab w:val="left" w:pos="284"/>
          <w:tab w:val="left" w:pos="1134"/>
        </w:tabs>
        <w:spacing w:after="0" w:line="360" w:lineRule="auto"/>
        <w:ind w:firstLine="709"/>
        <w:jc w:val="both"/>
        <w:rPr>
          <w:rFonts w:ascii="Times New Roman" w:hAnsi="Times New Roman"/>
          <w:color w:val="000000" w:themeColor="text1"/>
          <w:sz w:val="28"/>
          <w:szCs w:val="28"/>
        </w:rPr>
      </w:pPr>
      <w:r w:rsidRPr="007B438D">
        <w:rPr>
          <w:rFonts w:ascii="Times New Roman" w:hAnsi="Times New Roman"/>
          <w:color w:val="000000" w:themeColor="text1"/>
          <w:sz w:val="28"/>
          <w:szCs w:val="28"/>
        </w:rPr>
        <w:t>для ИСУ – наименование организации, осуществляющей выдачу ИСУ (управляющего ипотечным покрытием), и в скобках индивидуальное обозначение ИСУ.</w:t>
      </w:r>
    </w:p>
    <w:p w14:paraId="3FC7999E" w14:textId="096C677E" w:rsidR="00540D49" w:rsidRDefault="00540D49" w:rsidP="00540D49">
      <w:pPr>
        <w:tabs>
          <w:tab w:val="left" w:pos="851"/>
          <w:tab w:val="left" w:pos="993"/>
        </w:tabs>
        <w:autoSpaceDE w:val="0"/>
        <w:autoSpaceDN w:val="0"/>
        <w:adjustRightInd w:val="0"/>
        <w:spacing w:after="0" w:line="360" w:lineRule="auto"/>
        <w:ind w:firstLine="709"/>
        <w:jc w:val="both"/>
        <w:outlineLvl w:val="0"/>
        <w:rPr>
          <w:rFonts w:ascii="Times New Roman" w:hAnsi="Times New Roman"/>
          <w:color w:val="000000" w:themeColor="text1"/>
          <w:sz w:val="28"/>
          <w:szCs w:val="28"/>
        </w:rPr>
      </w:pPr>
      <w:r w:rsidRPr="007B438D">
        <w:rPr>
          <w:rFonts w:ascii="Times New Roman" w:hAnsi="Times New Roman"/>
          <w:color w:val="000000" w:themeColor="text1"/>
          <w:sz w:val="28"/>
          <w:szCs w:val="28"/>
        </w:rPr>
        <w:lastRenderedPageBreak/>
        <w:t xml:space="preserve">Для международных компаний в графе </w:t>
      </w:r>
      <w:r w:rsidR="001629FC">
        <w:rPr>
          <w:rFonts w:ascii="Times New Roman" w:hAnsi="Times New Roman"/>
          <w:color w:val="000000" w:themeColor="text1"/>
          <w:sz w:val="28"/>
          <w:szCs w:val="28"/>
        </w:rPr>
        <w:t>«</w:t>
      </w:r>
      <w:r w:rsidR="001629FC" w:rsidRPr="001629FC">
        <w:rPr>
          <w:rFonts w:ascii="Times New Roman" w:hAnsi="Times New Roman"/>
          <w:color w:val="000000" w:themeColor="text1"/>
          <w:sz w:val="28"/>
          <w:szCs w:val="28"/>
        </w:rPr>
        <w:t>Наименование эмитента ценной бумаги</w:t>
      </w:r>
      <w:r w:rsidR="001629FC">
        <w:rPr>
          <w:rFonts w:ascii="Times New Roman" w:hAnsi="Times New Roman"/>
          <w:color w:val="000000" w:themeColor="text1"/>
          <w:sz w:val="28"/>
          <w:szCs w:val="28"/>
        </w:rPr>
        <w:t>»</w:t>
      </w:r>
      <w:r w:rsidRPr="007B438D">
        <w:rPr>
          <w:rFonts w:ascii="Times New Roman" w:hAnsi="Times New Roman"/>
          <w:color w:val="000000" w:themeColor="text1"/>
          <w:sz w:val="28"/>
          <w:szCs w:val="28"/>
        </w:rPr>
        <w:t xml:space="preserve"> подраздела 4.1 указывается наименование эмитента на русском языке.</w:t>
      </w:r>
    </w:p>
    <w:p w14:paraId="027C9F77" w14:textId="191C4356" w:rsidR="00540D49" w:rsidRPr="00540D49" w:rsidRDefault="00540D49" w:rsidP="001629FC">
      <w:pPr>
        <w:pStyle w:val="a3"/>
        <w:numPr>
          <w:ilvl w:val="1"/>
          <w:numId w:val="15"/>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7B438D">
        <w:rPr>
          <w:rFonts w:ascii="Times New Roman" w:hAnsi="Times New Roman"/>
          <w:color w:val="000000" w:themeColor="text1"/>
          <w:sz w:val="28"/>
          <w:szCs w:val="28"/>
        </w:rPr>
        <w:t xml:space="preserve">В графе </w:t>
      </w:r>
      <w:r w:rsidR="001629FC">
        <w:rPr>
          <w:rFonts w:ascii="Times New Roman" w:hAnsi="Times New Roman"/>
          <w:color w:val="000000" w:themeColor="text1"/>
          <w:sz w:val="28"/>
          <w:szCs w:val="28"/>
        </w:rPr>
        <w:t>«</w:t>
      </w:r>
      <w:r w:rsidR="001629FC" w:rsidRPr="001629FC">
        <w:rPr>
          <w:rFonts w:ascii="Times New Roman" w:hAnsi="Times New Roman"/>
          <w:color w:val="000000" w:themeColor="text1"/>
          <w:sz w:val="28"/>
          <w:szCs w:val="28"/>
        </w:rPr>
        <w:t>ИНН эмитента</w:t>
      </w:r>
      <w:r w:rsidR="001629FC">
        <w:rPr>
          <w:rFonts w:ascii="Times New Roman" w:hAnsi="Times New Roman"/>
          <w:color w:val="000000" w:themeColor="text1"/>
          <w:sz w:val="28"/>
          <w:szCs w:val="28"/>
        </w:rPr>
        <w:t>»</w:t>
      </w:r>
      <w:r w:rsidRPr="007B438D">
        <w:rPr>
          <w:rFonts w:ascii="Times New Roman" w:hAnsi="Times New Roman"/>
          <w:color w:val="000000" w:themeColor="text1"/>
          <w:sz w:val="28"/>
          <w:szCs w:val="28"/>
        </w:rPr>
        <w:t xml:space="preserve"> под</w:t>
      </w:r>
      <w:r w:rsidRPr="007B438D">
        <w:rPr>
          <w:rFonts w:ascii="Times New Roman" w:eastAsia="Calibri" w:hAnsi="Times New Roman"/>
          <w:color w:val="000000" w:themeColor="text1"/>
          <w:sz w:val="28"/>
          <w:szCs w:val="28"/>
        </w:rPr>
        <w:t>раздела 4.1</w:t>
      </w:r>
      <w:r w:rsidRPr="007B438D">
        <w:rPr>
          <w:rFonts w:ascii="Times New Roman" w:hAnsi="Times New Roman"/>
          <w:color w:val="000000" w:themeColor="text1"/>
          <w:sz w:val="28"/>
          <w:szCs w:val="28"/>
        </w:rPr>
        <w:t xml:space="preserve"> в отношении эмитентов ценных бумаг (лиц, обязанных по ценным бумагам) указывается:</w:t>
      </w:r>
    </w:p>
    <w:p w14:paraId="66EEE902" w14:textId="77777777" w:rsidR="00540D49" w:rsidRPr="007B438D" w:rsidRDefault="00540D49" w:rsidP="00540D49">
      <w:pPr>
        <w:tabs>
          <w:tab w:val="left" w:pos="284"/>
          <w:tab w:val="left" w:pos="1134"/>
        </w:tabs>
        <w:spacing w:after="0" w:line="360" w:lineRule="auto"/>
        <w:ind w:firstLine="709"/>
        <w:jc w:val="both"/>
        <w:rPr>
          <w:rFonts w:ascii="Times New Roman" w:hAnsi="Times New Roman"/>
          <w:color w:val="000000" w:themeColor="text1"/>
          <w:sz w:val="28"/>
          <w:szCs w:val="28"/>
        </w:rPr>
      </w:pPr>
      <w:r w:rsidRPr="007B438D">
        <w:rPr>
          <w:rFonts w:ascii="Times New Roman" w:hAnsi="Times New Roman"/>
          <w:color w:val="000000" w:themeColor="text1"/>
          <w:sz w:val="28"/>
          <w:szCs w:val="28"/>
        </w:rPr>
        <w:t xml:space="preserve">для резидентов – ИНН (десятизначный для юридических лиц); </w:t>
      </w:r>
    </w:p>
    <w:p w14:paraId="766DD71A" w14:textId="77777777" w:rsidR="00540D49" w:rsidRPr="007B438D" w:rsidRDefault="00540D49" w:rsidP="00540D49">
      <w:pPr>
        <w:tabs>
          <w:tab w:val="left" w:pos="284"/>
          <w:tab w:val="left" w:pos="1134"/>
        </w:tabs>
        <w:spacing w:after="0" w:line="360" w:lineRule="auto"/>
        <w:ind w:firstLine="709"/>
        <w:jc w:val="both"/>
        <w:rPr>
          <w:rFonts w:ascii="Times New Roman" w:hAnsi="Times New Roman"/>
          <w:color w:val="000000" w:themeColor="text1"/>
          <w:sz w:val="28"/>
          <w:szCs w:val="28"/>
        </w:rPr>
      </w:pPr>
      <w:r w:rsidRPr="007B438D">
        <w:rPr>
          <w:rFonts w:ascii="Times New Roman" w:hAnsi="Times New Roman"/>
          <w:color w:val="000000" w:themeColor="text1"/>
          <w:sz w:val="28"/>
          <w:szCs w:val="28"/>
        </w:rPr>
        <w:t>для нерезидентов – идентификационный номер налогоплательщика – иностранной организации в стране регистрации (</w:t>
      </w:r>
      <w:proofErr w:type="spellStart"/>
      <w:r w:rsidRPr="007B438D">
        <w:rPr>
          <w:rFonts w:ascii="Times New Roman" w:hAnsi="Times New Roman"/>
          <w:color w:val="000000" w:themeColor="text1"/>
          <w:sz w:val="28"/>
          <w:szCs w:val="28"/>
        </w:rPr>
        <w:t>Tax</w:t>
      </w:r>
      <w:proofErr w:type="spellEnd"/>
      <w:r w:rsidRPr="007B438D">
        <w:rPr>
          <w:rFonts w:ascii="Times New Roman" w:hAnsi="Times New Roman"/>
          <w:color w:val="000000" w:themeColor="text1"/>
          <w:sz w:val="28"/>
          <w:szCs w:val="28"/>
        </w:rPr>
        <w:t> </w:t>
      </w:r>
      <w:proofErr w:type="spellStart"/>
      <w:r w:rsidRPr="007B438D">
        <w:rPr>
          <w:rFonts w:ascii="Times New Roman" w:hAnsi="Times New Roman"/>
          <w:color w:val="000000" w:themeColor="text1"/>
          <w:sz w:val="28"/>
          <w:szCs w:val="28"/>
        </w:rPr>
        <w:t>Identification</w:t>
      </w:r>
      <w:proofErr w:type="spellEnd"/>
      <w:r w:rsidRPr="007B438D">
        <w:rPr>
          <w:rFonts w:ascii="Times New Roman" w:hAnsi="Times New Roman"/>
          <w:color w:val="000000" w:themeColor="text1"/>
          <w:sz w:val="28"/>
          <w:szCs w:val="28"/>
        </w:rPr>
        <w:t xml:space="preserve"> </w:t>
      </w:r>
      <w:proofErr w:type="spellStart"/>
      <w:r w:rsidRPr="007B438D">
        <w:rPr>
          <w:rFonts w:ascii="Times New Roman" w:hAnsi="Times New Roman"/>
          <w:color w:val="000000" w:themeColor="text1"/>
          <w:sz w:val="28"/>
          <w:szCs w:val="28"/>
        </w:rPr>
        <w:t>Number</w:t>
      </w:r>
      <w:proofErr w:type="spellEnd"/>
      <w:r w:rsidRPr="007B438D">
        <w:rPr>
          <w:rFonts w:ascii="Times New Roman" w:hAnsi="Times New Roman"/>
          <w:color w:val="000000" w:themeColor="text1"/>
          <w:sz w:val="28"/>
          <w:szCs w:val="28"/>
        </w:rPr>
        <w:t>, TIN) (далее – TIN)</w:t>
      </w:r>
      <w:r w:rsidRPr="007B438D">
        <w:rPr>
          <w:rFonts w:ascii="Times New Roman" w:hAnsi="Times New Roman"/>
          <w:color w:val="000000" w:themeColor="text1"/>
          <w:sz w:val="28"/>
          <w:szCs w:val="28"/>
          <w:lang w:eastAsia="ru-RU"/>
        </w:rPr>
        <w:t xml:space="preserve"> </w:t>
      </w:r>
      <w:r w:rsidRPr="007B438D">
        <w:rPr>
          <w:rFonts w:ascii="Times New Roman" w:hAnsi="Times New Roman"/>
          <w:color w:val="000000" w:themeColor="text1"/>
          <w:sz w:val="28"/>
          <w:szCs w:val="28"/>
        </w:rPr>
        <w:t>или его аналог, либо международный код идентификации юридического лица (</w:t>
      </w:r>
      <w:proofErr w:type="spellStart"/>
      <w:r w:rsidRPr="007B438D">
        <w:rPr>
          <w:rFonts w:ascii="Times New Roman" w:hAnsi="Times New Roman"/>
          <w:color w:val="000000" w:themeColor="text1"/>
          <w:sz w:val="28"/>
          <w:szCs w:val="28"/>
        </w:rPr>
        <w:t>Legal</w:t>
      </w:r>
      <w:proofErr w:type="spellEnd"/>
      <w:r w:rsidRPr="007B438D">
        <w:rPr>
          <w:rFonts w:ascii="Times New Roman" w:hAnsi="Times New Roman"/>
          <w:color w:val="000000" w:themeColor="text1"/>
          <w:sz w:val="28"/>
          <w:szCs w:val="28"/>
        </w:rPr>
        <w:t xml:space="preserve"> </w:t>
      </w:r>
      <w:proofErr w:type="spellStart"/>
      <w:r w:rsidRPr="007B438D">
        <w:rPr>
          <w:rFonts w:ascii="Times New Roman" w:hAnsi="Times New Roman"/>
          <w:color w:val="000000" w:themeColor="text1"/>
          <w:sz w:val="28"/>
          <w:szCs w:val="28"/>
        </w:rPr>
        <w:t>Entity</w:t>
      </w:r>
      <w:proofErr w:type="spellEnd"/>
      <w:r w:rsidRPr="007B438D">
        <w:rPr>
          <w:rFonts w:ascii="Times New Roman" w:hAnsi="Times New Roman"/>
          <w:color w:val="000000" w:themeColor="text1"/>
          <w:sz w:val="28"/>
          <w:szCs w:val="28"/>
        </w:rPr>
        <w:t xml:space="preserve"> </w:t>
      </w:r>
      <w:proofErr w:type="spellStart"/>
      <w:r w:rsidRPr="007B438D">
        <w:rPr>
          <w:rFonts w:ascii="Times New Roman" w:hAnsi="Times New Roman"/>
          <w:color w:val="000000" w:themeColor="text1"/>
          <w:sz w:val="28"/>
          <w:szCs w:val="28"/>
        </w:rPr>
        <w:t>Identifier</w:t>
      </w:r>
      <w:proofErr w:type="spellEnd"/>
      <w:r w:rsidRPr="007B438D">
        <w:rPr>
          <w:rFonts w:ascii="Times New Roman" w:hAnsi="Times New Roman"/>
          <w:color w:val="000000" w:themeColor="text1"/>
          <w:sz w:val="28"/>
          <w:szCs w:val="28"/>
        </w:rPr>
        <w:t xml:space="preserve">, LEI) (далее – LEI) (при отсутствии TIN или его аналога), либо регистрационный номер в стране регистрации (при отсутствии TIN или его аналога и LEI). </w:t>
      </w:r>
    </w:p>
    <w:p w14:paraId="652AF44B" w14:textId="7B2CBFB2" w:rsidR="00540D49" w:rsidRDefault="00540D49" w:rsidP="00540D49">
      <w:pPr>
        <w:tabs>
          <w:tab w:val="left" w:pos="851"/>
          <w:tab w:val="left" w:pos="993"/>
        </w:tabs>
        <w:autoSpaceDE w:val="0"/>
        <w:autoSpaceDN w:val="0"/>
        <w:adjustRightInd w:val="0"/>
        <w:spacing w:after="0" w:line="360" w:lineRule="auto"/>
        <w:ind w:firstLine="709"/>
        <w:jc w:val="both"/>
        <w:outlineLvl w:val="0"/>
        <w:rPr>
          <w:rFonts w:ascii="Times New Roman" w:hAnsi="Times New Roman"/>
          <w:color w:val="000000" w:themeColor="text1"/>
          <w:sz w:val="28"/>
          <w:szCs w:val="28"/>
        </w:rPr>
      </w:pPr>
      <w:r w:rsidRPr="007B438D">
        <w:rPr>
          <w:rFonts w:ascii="Times New Roman" w:hAnsi="Times New Roman"/>
          <w:color w:val="000000" w:themeColor="text1"/>
          <w:sz w:val="28"/>
          <w:szCs w:val="28"/>
        </w:rPr>
        <w:t xml:space="preserve">При отсутствии у кредитной организации – брокера сведений об ИНН юридических лиц – резидентов, о TIN или его аналоге, LEI или регистрационном номере в стране регистрации юридических лиц – нерезидентов в графе </w:t>
      </w:r>
      <w:r w:rsidR="001629FC">
        <w:rPr>
          <w:rFonts w:ascii="Times New Roman" w:hAnsi="Times New Roman"/>
          <w:color w:val="000000" w:themeColor="text1"/>
          <w:sz w:val="28"/>
          <w:szCs w:val="28"/>
        </w:rPr>
        <w:t>«</w:t>
      </w:r>
      <w:r w:rsidR="001629FC" w:rsidRPr="001629FC">
        <w:rPr>
          <w:rFonts w:ascii="Times New Roman" w:hAnsi="Times New Roman"/>
          <w:color w:val="000000" w:themeColor="text1"/>
          <w:sz w:val="28"/>
          <w:szCs w:val="28"/>
        </w:rPr>
        <w:t>ИНН эмитента</w:t>
      </w:r>
      <w:r w:rsidR="001629FC">
        <w:rPr>
          <w:rFonts w:ascii="Times New Roman" w:hAnsi="Times New Roman"/>
          <w:color w:val="000000" w:themeColor="text1"/>
          <w:sz w:val="28"/>
          <w:szCs w:val="28"/>
        </w:rPr>
        <w:t>»</w:t>
      </w:r>
      <w:r w:rsidRPr="007B438D">
        <w:rPr>
          <w:rFonts w:ascii="Times New Roman" w:hAnsi="Times New Roman"/>
          <w:color w:val="000000" w:themeColor="text1"/>
          <w:sz w:val="28"/>
          <w:szCs w:val="28"/>
        </w:rPr>
        <w:t xml:space="preserve"> подраздела 4.1 указываются: для резидентов – 10 нулей, для нерезидентов – 3 нуля.</w:t>
      </w:r>
    </w:p>
    <w:p w14:paraId="446E34FA" w14:textId="3714CBBF" w:rsidR="00540D49" w:rsidRPr="00540D49" w:rsidRDefault="00540D49" w:rsidP="001629FC">
      <w:pPr>
        <w:pStyle w:val="a3"/>
        <w:numPr>
          <w:ilvl w:val="1"/>
          <w:numId w:val="15"/>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7B438D">
        <w:rPr>
          <w:rFonts w:ascii="Times New Roman" w:hAnsi="Times New Roman"/>
          <w:color w:val="000000" w:themeColor="text1"/>
          <w:sz w:val="28"/>
          <w:szCs w:val="28"/>
        </w:rPr>
        <w:t xml:space="preserve">В графе </w:t>
      </w:r>
      <w:r w:rsidR="001629FC">
        <w:rPr>
          <w:rFonts w:ascii="Times New Roman" w:hAnsi="Times New Roman"/>
          <w:color w:val="000000" w:themeColor="text1"/>
          <w:sz w:val="28"/>
          <w:szCs w:val="28"/>
        </w:rPr>
        <w:t>«</w:t>
      </w:r>
      <w:r w:rsidR="001629FC" w:rsidRPr="001629FC">
        <w:rPr>
          <w:rFonts w:ascii="Times New Roman" w:hAnsi="Times New Roman"/>
          <w:color w:val="000000" w:themeColor="text1"/>
          <w:sz w:val="28"/>
          <w:szCs w:val="28"/>
        </w:rPr>
        <w:t>ОГРН эмитента</w:t>
      </w:r>
      <w:r w:rsidR="001629FC">
        <w:rPr>
          <w:rFonts w:ascii="Times New Roman" w:hAnsi="Times New Roman"/>
          <w:color w:val="000000" w:themeColor="text1"/>
          <w:sz w:val="28"/>
          <w:szCs w:val="28"/>
        </w:rPr>
        <w:t>»</w:t>
      </w:r>
      <w:r w:rsidRPr="007B438D">
        <w:rPr>
          <w:rFonts w:ascii="Times New Roman" w:hAnsi="Times New Roman"/>
          <w:color w:val="000000" w:themeColor="text1"/>
          <w:sz w:val="28"/>
          <w:szCs w:val="28"/>
        </w:rPr>
        <w:t xml:space="preserve"> подраздела 4.1 в отношении эмитента ценных бумаг (лица, обязанных по ценным бумагам) указывается ОГРН юридического лица.</w:t>
      </w:r>
    </w:p>
    <w:p w14:paraId="5EAF5A43" w14:textId="4003E51B" w:rsidR="00540D49" w:rsidRPr="007B438D" w:rsidRDefault="00540D49" w:rsidP="00540D49">
      <w:pPr>
        <w:tabs>
          <w:tab w:val="left" w:pos="284"/>
          <w:tab w:val="left" w:pos="1134"/>
        </w:tabs>
        <w:spacing w:after="0" w:line="360" w:lineRule="auto"/>
        <w:ind w:firstLine="709"/>
        <w:jc w:val="both"/>
        <w:rPr>
          <w:rFonts w:ascii="Times New Roman" w:hAnsi="Times New Roman"/>
          <w:color w:val="000000" w:themeColor="text1"/>
          <w:sz w:val="28"/>
          <w:szCs w:val="28"/>
        </w:rPr>
      </w:pPr>
      <w:r w:rsidRPr="007B438D">
        <w:rPr>
          <w:rFonts w:ascii="Times New Roman" w:hAnsi="Times New Roman"/>
          <w:color w:val="000000" w:themeColor="text1"/>
          <w:sz w:val="28"/>
          <w:szCs w:val="28"/>
        </w:rPr>
        <w:t xml:space="preserve">Для инвестиционных паев паевых инвестиционных фондов, доверительное управление которыми осуществляет управляющая компания – резидент, в графах </w:t>
      </w:r>
      <w:r w:rsidR="001629FC">
        <w:rPr>
          <w:rFonts w:ascii="Times New Roman" w:hAnsi="Times New Roman"/>
          <w:color w:val="000000" w:themeColor="text1"/>
          <w:sz w:val="28"/>
          <w:szCs w:val="28"/>
        </w:rPr>
        <w:t>«</w:t>
      </w:r>
      <w:r w:rsidR="001629FC" w:rsidRPr="001629FC">
        <w:rPr>
          <w:rFonts w:ascii="Times New Roman" w:hAnsi="Times New Roman"/>
          <w:color w:val="000000" w:themeColor="text1"/>
          <w:sz w:val="28"/>
          <w:szCs w:val="28"/>
        </w:rPr>
        <w:t>ИНН эмитента</w:t>
      </w:r>
      <w:r w:rsidR="001629FC">
        <w:rPr>
          <w:rFonts w:ascii="Times New Roman" w:hAnsi="Times New Roman"/>
          <w:color w:val="000000" w:themeColor="text1"/>
          <w:sz w:val="28"/>
          <w:szCs w:val="28"/>
        </w:rPr>
        <w:t>»</w:t>
      </w:r>
      <w:r w:rsidRPr="007B438D">
        <w:rPr>
          <w:rFonts w:ascii="Times New Roman" w:hAnsi="Times New Roman"/>
          <w:color w:val="000000" w:themeColor="text1"/>
          <w:sz w:val="28"/>
          <w:szCs w:val="28"/>
        </w:rPr>
        <w:t xml:space="preserve"> и </w:t>
      </w:r>
      <w:r w:rsidR="001629FC">
        <w:rPr>
          <w:rFonts w:ascii="Times New Roman" w:hAnsi="Times New Roman"/>
          <w:color w:val="000000" w:themeColor="text1"/>
          <w:sz w:val="28"/>
          <w:szCs w:val="28"/>
        </w:rPr>
        <w:t>«</w:t>
      </w:r>
      <w:r w:rsidR="001629FC" w:rsidRPr="001629FC">
        <w:rPr>
          <w:rFonts w:ascii="Times New Roman" w:hAnsi="Times New Roman"/>
          <w:color w:val="000000" w:themeColor="text1"/>
          <w:sz w:val="28"/>
          <w:szCs w:val="28"/>
        </w:rPr>
        <w:t>ОГРН эмитента</w:t>
      </w:r>
      <w:r w:rsidR="001629FC">
        <w:rPr>
          <w:rFonts w:ascii="Times New Roman" w:hAnsi="Times New Roman"/>
          <w:color w:val="000000" w:themeColor="text1"/>
          <w:sz w:val="28"/>
          <w:szCs w:val="28"/>
        </w:rPr>
        <w:t>»</w:t>
      </w:r>
      <w:r w:rsidRPr="007B438D">
        <w:rPr>
          <w:rFonts w:ascii="Times New Roman" w:hAnsi="Times New Roman"/>
          <w:color w:val="000000" w:themeColor="text1"/>
          <w:sz w:val="28"/>
          <w:szCs w:val="28"/>
        </w:rPr>
        <w:t xml:space="preserve"> подраздела 4.1 указываются соответственно ИНН, ОГРН управляющей компании – резидента.</w:t>
      </w:r>
    </w:p>
    <w:p w14:paraId="0826AEFC" w14:textId="6DB47441" w:rsidR="00540D49" w:rsidRPr="007B438D" w:rsidRDefault="00540D49" w:rsidP="00540D49">
      <w:pPr>
        <w:tabs>
          <w:tab w:val="left" w:pos="284"/>
          <w:tab w:val="left" w:pos="1134"/>
        </w:tabs>
        <w:spacing w:after="0" w:line="360" w:lineRule="auto"/>
        <w:ind w:firstLine="709"/>
        <w:jc w:val="both"/>
        <w:rPr>
          <w:rFonts w:ascii="Times New Roman" w:hAnsi="Times New Roman"/>
          <w:color w:val="000000" w:themeColor="text1"/>
          <w:sz w:val="28"/>
          <w:szCs w:val="28"/>
        </w:rPr>
      </w:pPr>
      <w:r w:rsidRPr="007B438D">
        <w:rPr>
          <w:rFonts w:ascii="Times New Roman" w:hAnsi="Times New Roman"/>
          <w:color w:val="000000" w:themeColor="text1"/>
          <w:sz w:val="28"/>
          <w:szCs w:val="28"/>
        </w:rPr>
        <w:t xml:space="preserve">Для инвестиционных паев паевых инвестиционных фондов, доверительное управление которыми осуществляет управляющая компания – нерезидент, в графе </w:t>
      </w:r>
      <w:r w:rsidR="001629FC">
        <w:rPr>
          <w:rFonts w:ascii="Times New Roman" w:hAnsi="Times New Roman"/>
          <w:color w:val="000000" w:themeColor="text1"/>
          <w:sz w:val="28"/>
          <w:szCs w:val="28"/>
        </w:rPr>
        <w:t>«</w:t>
      </w:r>
      <w:r w:rsidR="001629FC" w:rsidRPr="001629FC">
        <w:rPr>
          <w:rFonts w:ascii="Times New Roman" w:hAnsi="Times New Roman"/>
          <w:color w:val="000000" w:themeColor="text1"/>
          <w:sz w:val="28"/>
          <w:szCs w:val="28"/>
        </w:rPr>
        <w:t>ИНН эмитента</w:t>
      </w:r>
      <w:r w:rsidR="001629FC">
        <w:rPr>
          <w:rFonts w:ascii="Times New Roman" w:hAnsi="Times New Roman"/>
          <w:color w:val="000000" w:themeColor="text1"/>
          <w:sz w:val="28"/>
          <w:szCs w:val="28"/>
        </w:rPr>
        <w:t>»</w:t>
      </w:r>
      <w:r w:rsidRPr="007B438D">
        <w:rPr>
          <w:rFonts w:ascii="Times New Roman" w:hAnsi="Times New Roman"/>
          <w:color w:val="000000" w:themeColor="text1"/>
          <w:sz w:val="28"/>
          <w:szCs w:val="28"/>
        </w:rPr>
        <w:t xml:space="preserve"> подраздела 4.1 указывается TIN или его аналог, либо LEI (при отсутствии TIN или его аналога), либо регистрационный номер в стране регистрации (при отсутствии TIN или его аналога и LEI) управляющей компании – нерезидента.</w:t>
      </w:r>
    </w:p>
    <w:p w14:paraId="4F13A993" w14:textId="60EDB646" w:rsidR="00540D49" w:rsidRPr="007B438D" w:rsidRDefault="00540D49" w:rsidP="00540D49">
      <w:pPr>
        <w:tabs>
          <w:tab w:val="left" w:pos="284"/>
          <w:tab w:val="left" w:pos="1134"/>
        </w:tabs>
        <w:spacing w:after="0" w:line="360" w:lineRule="auto"/>
        <w:ind w:firstLine="709"/>
        <w:jc w:val="both"/>
        <w:rPr>
          <w:rFonts w:ascii="Times New Roman" w:hAnsi="Times New Roman"/>
          <w:color w:val="000000" w:themeColor="text1"/>
          <w:sz w:val="28"/>
          <w:szCs w:val="28"/>
        </w:rPr>
      </w:pPr>
      <w:r w:rsidRPr="007B438D">
        <w:rPr>
          <w:rFonts w:ascii="Times New Roman" w:hAnsi="Times New Roman"/>
          <w:color w:val="000000" w:themeColor="text1"/>
          <w:sz w:val="28"/>
          <w:szCs w:val="28"/>
        </w:rPr>
        <w:lastRenderedPageBreak/>
        <w:t>Для ценных бумаг, которые удостоверяют право собственности на определенное количество представляемых ценных бумаг (акций или облигаций эмитента-резидента) и закрепляют право их владельцев требовать от эмитента получения соответствующего количества представляемых ценных бумаг (далее – депозитарные расписки на ценные бумаги резидентов), в графах </w:t>
      </w:r>
      <w:r w:rsidR="001629FC">
        <w:rPr>
          <w:rFonts w:ascii="Times New Roman" w:hAnsi="Times New Roman"/>
          <w:color w:val="000000" w:themeColor="text1"/>
          <w:sz w:val="28"/>
          <w:szCs w:val="28"/>
        </w:rPr>
        <w:t>«</w:t>
      </w:r>
      <w:r w:rsidR="001629FC" w:rsidRPr="001629FC">
        <w:rPr>
          <w:rFonts w:ascii="Times New Roman" w:hAnsi="Times New Roman"/>
          <w:color w:val="000000" w:themeColor="text1"/>
          <w:sz w:val="28"/>
          <w:szCs w:val="28"/>
        </w:rPr>
        <w:t>ИНН эмитента</w:t>
      </w:r>
      <w:r w:rsidR="001629FC">
        <w:rPr>
          <w:rFonts w:ascii="Times New Roman" w:hAnsi="Times New Roman"/>
          <w:color w:val="000000" w:themeColor="text1"/>
          <w:sz w:val="28"/>
          <w:szCs w:val="28"/>
        </w:rPr>
        <w:t>»</w:t>
      </w:r>
      <w:r w:rsidR="001629FC" w:rsidRPr="007B438D">
        <w:rPr>
          <w:rFonts w:ascii="Times New Roman" w:hAnsi="Times New Roman"/>
          <w:color w:val="000000" w:themeColor="text1"/>
          <w:sz w:val="28"/>
          <w:szCs w:val="28"/>
        </w:rPr>
        <w:t xml:space="preserve"> и </w:t>
      </w:r>
      <w:r w:rsidR="001629FC">
        <w:rPr>
          <w:rFonts w:ascii="Times New Roman" w:hAnsi="Times New Roman"/>
          <w:color w:val="000000" w:themeColor="text1"/>
          <w:sz w:val="28"/>
          <w:szCs w:val="28"/>
        </w:rPr>
        <w:t>«</w:t>
      </w:r>
      <w:r w:rsidR="001629FC" w:rsidRPr="001629FC">
        <w:rPr>
          <w:rFonts w:ascii="Times New Roman" w:hAnsi="Times New Roman"/>
          <w:color w:val="000000" w:themeColor="text1"/>
          <w:sz w:val="28"/>
          <w:szCs w:val="28"/>
        </w:rPr>
        <w:t>ОГРН эмитента</w:t>
      </w:r>
      <w:r w:rsidR="001629FC">
        <w:rPr>
          <w:rFonts w:ascii="Times New Roman" w:hAnsi="Times New Roman"/>
          <w:color w:val="000000" w:themeColor="text1"/>
          <w:sz w:val="28"/>
          <w:szCs w:val="28"/>
        </w:rPr>
        <w:t>»</w:t>
      </w:r>
      <w:r w:rsidRPr="007B438D">
        <w:rPr>
          <w:rFonts w:ascii="Times New Roman" w:hAnsi="Times New Roman"/>
          <w:color w:val="000000" w:themeColor="text1"/>
          <w:sz w:val="28"/>
          <w:szCs w:val="28"/>
        </w:rPr>
        <w:t xml:space="preserve"> подраздела 4.1 указываются соответственно ИНН, ОГРН эмитента представляемых ценных бумаг.</w:t>
      </w:r>
    </w:p>
    <w:p w14:paraId="405D56CD" w14:textId="14239E19" w:rsidR="00540D49" w:rsidRPr="007B438D" w:rsidRDefault="00540D49" w:rsidP="00540D49">
      <w:pPr>
        <w:tabs>
          <w:tab w:val="left" w:pos="284"/>
          <w:tab w:val="left" w:pos="1134"/>
        </w:tabs>
        <w:spacing w:after="0" w:line="360" w:lineRule="auto"/>
        <w:ind w:firstLine="709"/>
        <w:jc w:val="both"/>
        <w:rPr>
          <w:rFonts w:ascii="Times New Roman" w:hAnsi="Times New Roman"/>
          <w:color w:val="000000" w:themeColor="text1"/>
          <w:sz w:val="28"/>
          <w:szCs w:val="28"/>
        </w:rPr>
      </w:pPr>
      <w:r w:rsidRPr="007B438D">
        <w:rPr>
          <w:rFonts w:ascii="Times New Roman" w:hAnsi="Times New Roman"/>
          <w:color w:val="000000" w:themeColor="text1"/>
          <w:sz w:val="28"/>
          <w:szCs w:val="28"/>
        </w:rPr>
        <w:t xml:space="preserve">Для ценных бумаг, которые удостоверяют право собственности на определенное количество представляемых ценных бумаг (акций или облигаций эмитента-нерезидента либо ценных бумаг иного эмитента-нерезидента, удостоверяющих права в отношении акций или облигаций эмитента-нерезидента) и закрепляют право их владельцев требовать от эмитента получения соответствующего количества представляемых ценных бумаг (далее – депозитарные расписки на ценные бумаги нерезидентов), </w:t>
      </w:r>
      <w:r w:rsidRPr="007B438D">
        <w:rPr>
          <w:rFonts w:ascii="Times New Roman" w:hAnsi="Times New Roman"/>
          <w:color w:val="000000" w:themeColor="text1"/>
          <w:sz w:val="28"/>
          <w:szCs w:val="28"/>
        </w:rPr>
        <w:br/>
        <w:t xml:space="preserve">в графе </w:t>
      </w:r>
      <w:r w:rsidR="001629FC">
        <w:rPr>
          <w:rFonts w:ascii="Times New Roman" w:hAnsi="Times New Roman"/>
          <w:color w:val="000000" w:themeColor="text1"/>
          <w:sz w:val="28"/>
          <w:szCs w:val="28"/>
        </w:rPr>
        <w:t>«</w:t>
      </w:r>
      <w:r w:rsidR="001629FC" w:rsidRPr="001629FC">
        <w:rPr>
          <w:rFonts w:ascii="Times New Roman" w:hAnsi="Times New Roman"/>
          <w:color w:val="000000" w:themeColor="text1"/>
          <w:sz w:val="28"/>
          <w:szCs w:val="28"/>
        </w:rPr>
        <w:t>ИНН эмитента</w:t>
      </w:r>
      <w:r w:rsidR="001629FC">
        <w:rPr>
          <w:rFonts w:ascii="Times New Roman" w:hAnsi="Times New Roman"/>
          <w:color w:val="000000" w:themeColor="text1"/>
          <w:sz w:val="28"/>
          <w:szCs w:val="28"/>
        </w:rPr>
        <w:t>»</w:t>
      </w:r>
      <w:r w:rsidRPr="007B438D">
        <w:rPr>
          <w:rFonts w:ascii="Times New Roman" w:hAnsi="Times New Roman"/>
          <w:color w:val="000000" w:themeColor="text1"/>
          <w:sz w:val="28"/>
          <w:szCs w:val="28"/>
        </w:rPr>
        <w:t xml:space="preserve"> подраздела 4.1 указывается TIN или его аналог, либо LEI (при отсутствии TIN или его аналога), либо регистрационный номер в стране регистрации (при отсутствии TIN или его аналога и LEI) эмитента представляемых ценных бумаг.</w:t>
      </w:r>
    </w:p>
    <w:p w14:paraId="57D7CD9D" w14:textId="0087B7D1" w:rsidR="00540D49" w:rsidRPr="007B438D" w:rsidRDefault="00540D49" w:rsidP="00540D49">
      <w:pPr>
        <w:tabs>
          <w:tab w:val="left" w:pos="284"/>
          <w:tab w:val="left" w:pos="1134"/>
        </w:tabs>
        <w:spacing w:after="0" w:line="360" w:lineRule="auto"/>
        <w:ind w:firstLine="709"/>
        <w:jc w:val="both"/>
        <w:rPr>
          <w:rFonts w:ascii="Times New Roman" w:hAnsi="Times New Roman"/>
          <w:color w:val="000000" w:themeColor="text1"/>
          <w:sz w:val="28"/>
          <w:szCs w:val="28"/>
        </w:rPr>
      </w:pPr>
      <w:r w:rsidRPr="007B438D">
        <w:rPr>
          <w:rFonts w:ascii="Times New Roman" w:hAnsi="Times New Roman"/>
          <w:color w:val="000000" w:themeColor="text1"/>
          <w:sz w:val="28"/>
          <w:szCs w:val="28"/>
        </w:rPr>
        <w:t xml:space="preserve">В случае если эмитентом ценных бумаг является международная компания, в графах </w:t>
      </w:r>
      <w:r w:rsidR="001629FC">
        <w:rPr>
          <w:rFonts w:ascii="Times New Roman" w:hAnsi="Times New Roman"/>
          <w:color w:val="000000" w:themeColor="text1"/>
          <w:sz w:val="28"/>
          <w:szCs w:val="28"/>
        </w:rPr>
        <w:t>«</w:t>
      </w:r>
      <w:r w:rsidR="001629FC" w:rsidRPr="001629FC">
        <w:rPr>
          <w:rFonts w:ascii="Times New Roman" w:hAnsi="Times New Roman"/>
          <w:color w:val="000000" w:themeColor="text1"/>
          <w:sz w:val="28"/>
          <w:szCs w:val="28"/>
        </w:rPr>
        <w:t>ИНН эмитента</w:t>
      </w:r>
      <w:r w:rsidR="001629FC">
        <w:rPr>
          <w:rFonts w:ascii="Times New Roman" w:hAnsi="Times New Roman"/>
          <w:color w:val="000000" w:themeColor="text1"/>
          <w:sz w:val="28"/>
          <w:szCs w:val="28"/>
        </w:rPr>
        <w:t>»</w:t>
      </w:r>
      <w:r w:rsidR="001629FC" w:rsidRPr="007B438D">
        <w:rPr>
          <w:rFonts w:ascii="Times New Roman" w:hAnsi="Times New Roman"/>
          <w:color w:val="000000" w:themeColor="text1"/>
          <w:sz w:val="28"/>
          <w:szCs w:val="28"/>
        </w:rPr>
        <w:t xml:space="preserve"> и </w:t>
      </w:r>
      <w:r w:rsidR="001629FC">
        <w:rPr>
          <w:rFonts w:ascii="Times New Roman" w:hAnsi="Times New Roman"/>
          <w:color w:val="000000" w:themeColor="text1"/>
          <w:sz w:val="28"/>
          <w:szCs w:val="28"/>
        </w:rPr>
        <w:t>«</w:t>
      </w:r>
      <w:r w:rsidR="001629FC" w:rsidRPr="001629FC">
        <w:rPr>
          <w:rFonts w:ascii="Times New Roman" w:hAnsi="Times New Roman"/>
          <w:color w:val="000000" w:themeColor="text1"/>
          <w:sz w:val="28"/>
          <w:szCs w:val="28"/>
        </w:rPr>
        <w:t>ОГРН эмитента</w:t>
      </w:r>
      <w:r w:rsidR="001629FC">
        <w:rPr>
          <w:rFonts w:ascii="Times New Roman" w:hAnsi="Times New Roman"/>
          <w:color w:val="000000" w:themeColor="text1"/>
          <w:sz w:val="28"/>
          <w:szCs w:val="28"/>
        </w:rPr>
        <w:t>»</w:t>
      </w:r>
      <w:r w:rsidRPr="007B438D">
        <w:rPr>
          <w:rFonts w:ascii="Times New Roman" w:hAnsi="Times New Roman"/>
          <w:color w:val="000000" w:themeColor="text1"/>
          <w:sz w:val="28"/>
          <w:szCs w:val="28"/>
        </w:rPr>
        <w:t xml:space="preserve"> подраздела 4.1 указываются соответственно ИНН и ОГРН международной компании.</w:t>
      </w:r>
    </w:p>
    <w:p w14:paraId="594388E7" w14:textId="4EC25417" w:rsidR="00540D49" w:rsidRDefault="00540D49" w:rsidP="00540D49">
      <w:pPr>
        <w:tabs>
          <w:tab w:val="left" w:pos="851"/>
          <w:tab w:val="left" w:pos="993"/>
        </w:tabs>
        <w:autoSpaceDE w:val="0"/>
        <w:autoSpaceDN w:val="0"/>
        <w:adjustRightInd w:val="0"/>
        <w:spacing w:after="0" w:line="360" w:lineRule="auto"/>
        <w:ind w:firstLine="709"/>
        <w:jc w:val="both"/>
        <w:outlineLvl w:val="0"/>
        <w:rPr>
          <w:rFonts w:ascii="Times New Roman" w:hAnsi="Times New Roman"/>
          <w:color w:val="000000" w:themeColor="text1"/>
          <w:sz w:val="28"/>
          <w:szCs w:val="28"/>
        </w:rPr>
      </w:pPr>
      <w:r w:rsidRPr="007B438D">
        <w:rPr>
          <w:rFonts w:ascii="Times New Roman" w:hAnsi="Times New Roman"/>
          <w:color w:val="000000" w:themeColor="text1"/>
          <w:sz w:val="28"/>
          <w:szCs w:val="28"/>
        </w:rPr>
        <w:t xml:space="preserve">В случае отсутствия данных об ИНН и ОГРН юридического лица, необходимых для заполнения граф </w:t>
      </w:r>
      <w:r w:rsidR="001629FC">
        <w:rPr>
          <w:rFonts w:ascii="Times New Roman" w:hAnsi="Times New Roman"/>
          <w:color w:val="000000" w:themeColor="text1"/>
          <w:sz w:val="28"/>
          <w:szCs w:val="28"/>
        </w:rPr>
        <w:t>«</w:t>
      </w:r>
      <w:r w:rsidR="001629FC" w:rsidRPr="001629FC">
        <w:rPr>
          <w:rFonts w:ascii="Times New Roman" w:hAnsi="Times New Roman"/>
          <w:color w:val="000000" w:themeColor="text1"/>
          <w:sz w:val="28"/>
          <w:szCs w:val="28"/>
        </w:rPr>
        <w:t>ИНН эмитента</w:t>
      </w:r>
      <w:r w:rsidR="001629FC">
        <w:rPr>
          <w:rFonts w:ascii="Times New Roman" w:hAnsi="Times New Roman"/>
          <w:color w:val="000000" w:themeColor="text1"/>
          <w:sz w:val="28"/>
          <w:szCs w:val="28"/>
        </w:rPr>
        <w:t>»</w:t>
      </w:r>
      <w:r w:rsidR="001629FC" w:rsidRPr="007B438D">
        <w:rPr>
          <w:rFonts w:ascii="Times New Roman" w:hAnsi="Times New Roman"/>
          <w:color w:val="000000" w:themeColor="text1"/>
          <w:sz w:val="28"/>
          <w:szCs w:val="28"/>
        </w:rPr>
        <w:t xml:space="preserve"> и </w:t>
      </w:r>
      <w:r w:rsidR="001629FC">
        <w:rPr>
          <w:rFonts w:ascii="Times New Roman" w:hAnsi="Times New Roman"/>
          <w:color w:val="000000" w:themeColor="text1"/>
          <w:sz w:val="28"/>
          <w:szCs w:val="28"/>
        </w:rPr>
        <w:t>«</w:t>
      </w:r>
      <w:r w:rsidR="001629FC" w:rsidRPr="001629FC">
        <w:rPr>
          <w:rFonts w:ascii="Times New Roman" w:hAnsi="Times New Roman"/>
          <w:color w:val="000000" w:themeColor="text1"/>
          <w:sz w:val="28"/>
          <w:szCs w:val="28"/>
        </w:rPr>
        <w:t>ОГРН эмитента</w:t>
      </w:r>
      <w:r w:rsidR="001629FC">
        <w:rPr>
          <w:rFonts w:ascii="Times New Roman" w:hAnsi="Times New Roman"/>
          <w:color w:val="000000" w:themeColor="text1"/>
          <w:sz w:val="28"/>
          <w:szCs w:val="28"/>
        </w:rPr>
        <w:t>»</w:t>
      </w:r>
      <w:r w:rsidRPr="007B438D">
        <w:rPr>
          <w:rFonts w:ascii="Times New Roman" w:hAnsi="Times New Roman"/>
          <w:color w:val="000000" w:themeColor="text1"/>
          <w:sz w:val="28"/>
          <w:szCs w:val="28"/>
        </w:rPr>
        <w:t xml:space="preserve"> подраздела 4.1, кредитная организация – брокер должна указывать в пояснительной записке причину их </w:t>
      </w:r>
      <w:proofErr w:type="spellStart"/>
      <w:r w:rsidRPr="007B438D">
        <w:rPr>
          <w:rFonts w:ascii="Times New Roman" w:hAnsi="Times New Roman"/>
          <w:color w:val="000000" w:themeColor="text1"/>
          <w:sz w:val="28"/>
          <w:szCs w:val="28"/>
        </w:rPr>
        <w:t>незаполнения</w:t>
      </w:r>
      <w:proofErr w:type="spellEnd"/>
      <w:r w:rsidRPr="007B438D">
        <w:rPr>
          <w:rFonts w:ascii="Times New Roman" w:hAnsi="Times New Roman"/>
          <w:color w:val="000000" w:themeColor="text1"/>
          <w:sz w:val="28"/>
          <w:szCs w:val="28"/>
        </w:rPr>
        <w:t>.</w:t>
      </w:r>
    </w:p>
    <w:p w14:paraId="2027AEC9" w14:textId="4A6F8D66" w:rsidR="00540D49" w:rsidRPr="00540D49" w:rsidRDefault="00540D49" w:rsidP="001629FC">
      <w:pPr>
        <w:pStyle w:val="a3"/>
        <w:numPr>
          <w:ilvl w:val="1"/>
          <w:numId w:val="15"/>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7B438D">
        <w:rPr>
          <w:rFonts w:ascii="Times New Roman" w:hAnsi="Times New Roman"/>
          <w:color w:val="000000" w:themeColor="text1"/>
          <w:sz w:val="28"/>
          <w:szCs w:val="28"/>
        </w:rPr>
        <w:t xml:space="preserve">В графе </w:t>
      </w:r>
      <w:r w:rsidR="001629FC">
        <w:rPr>
          <w:rFonts w:ascii="Times New Roman" w:hAnsi="Times New Roman"/>
          <w:color w:val="000000" w:themeColor="text1"/>
          <w:sz w:val="28"/>
          <w:szCs w:val="28"/>
        </w:rPr>
        <w:t>«</w:t>
      </w:r>
      <w:r w:rsidR="001629FC" w:rsidRPr="001629FC">
        <w:rPr>
          <w:rFonts w:ascii="Times New Roman" w:hAnsi="Times New Roman"/>
          <w:color w:val="000000" w:themeColor="text1"/>
          <w:sz w:val="28"/>
          <w:szCs w:val="28"/>
        </w:rPr>
        <w:t>Код страны эмитента по ОКСМ</w:t>
      </w:r>
      <w:r w:rsidR="001629FC">
        <w:rPr>
          <w:rFonts w:ascii="Times New Roman" w:hAnsi="Times New Roman"/>
          <w:color w:val="000000" w:themeColor="text1"/>
          <w:sz w:val="28"/>
          <w:szCs w:val="28"/>
        </w:rPr>
        <w:t>»</w:t>
      </w:r>
      <w:r w:rsidRPr="007B438D">
        <w:rPr>
          <w:rFonts w:ascii="Times New Roman" w:hAnsi="Times New Roman"/>
          <w:color w:val="000000" w:themeColor="text1"/>
          <w:sz w:val="28"/>
          <w:szCs w:val="28"/>
        </w:rPr>
        <w:t xml:space="preserve"> подраздела 4.1 указывается в соответствии с Общероссийским классификатором стран мира трехзначный цифровой код страны, резидентом которой является юридическое лицо, являющееся эмитентом ценных бумаг (лицом, обязанным по ценным бумагам).</w:t>
      </w:r>
    </w:p>
    <w:p w14:paraId="057D50AB" w14:textId="77777777" w:rsidR="00540D49" w:rsidRPr="007B438D" w:rsidRDefault="00540D49" w:rsidP="00C3215C">
      <w:pPr>
        <w:tabs>
          <w:tab w:val="left" w:pos="284"/>
          <w:tab w:val="left" w:pos="1134"/>
        </w:tabs>
        <w:spacing w:after="0" w:line="360" w:lineRule="auto"/>
        <w:ind w:firstLine="709"/>
        <w:jc w:val="both"/>
        <w:rPr>
          <w:rFonts w:ascii="Times New Roman" w:hAnsi="Times New Roman"/>
          <w:color w:val="000000" w:themeColor="text1"/>
          <w:sz w:val="28"/>
          <w:szCs w:val="28"/>
        </w:rPr>
      </w:pPr>
      <w:r w:rsidRPr="007B438D">
        <w:rPr>
          <w:rFonts w:ascii="Times New Roman" w:hAnsi="Times New Roman"/>
          <w:color w:val="000000" w:themeColor="text1"/>
          <w:sz w:val="28"/>
          <w:szCs w:val="28"/>
        </w:rPr>
        <w:lastRenderedPageBreak/>
        <w:t xml:space="preserve">В случае если юридическое лицо является международной организацией, указывается код «998», но не код страны, где расположено данное юридическое лицо. В случае если юридическое лицо является хозяйственным обществом со статусом международной компании, зарегистрированным в ЕГРЮЛ в порядке инкорпорации в соответствии со статьей 1 Федерального закона № 290-ФЗ, указывается код «995». В случае если юридическое лицо является хозяйственным обществом со статусом международной компании, зарегистрированным в ЕГРЮЛ в связи с изменением иностранным юридическим лицом личного закона в порядке </w:t>
      </w:r>
      <w:proofErr w:type="spellStart"/>
      <w:r w:rsidRPr="007B438D">
        <w:rPr>
          <w:rFonts w:ascii="Times New Roman" w:hAnsi="Times New Roman"/>
          <w:color w:val="000000" w:themeColor="text1"/>
          <w:sz w:val="28"/>
          <w:szCs w:val="28"/>
        </w:rPr>
        <w:t>редомициляции</w:t>
      </w:r>
      <w:proofErr w:type="spellEnd"/>
      <w:r w:rsidRPr="007B438D">
        <w:rPr>
          <w:rFonts w:ascii="Times New Roman" w:hAnsi="Times New Roman"/>
          <w:color w:val="000000" w:themeColor="text1"/>
          <w:sz w:val="28"/>
          <w:szCs w:val="28"/>
        </w:rPr>
        <w:t xml:space="preserve"> в соответствии со статьей 1 Федерального закона № 290-ФЗ, указывается код «996». В случае если данные о стране нерезидента отсутствуют, указывается код «999». Страна, резидентом которой является юридическое лицо, не должна определяться на основе валюты, в которой номинированы ценные бумаги. Также не указывается в качестве страны, резидентом которой является юридическое лицо, страна, предоставившая гарантии (если только страна выпуска (выдачи) ценных бумаг не совпадает со страной предоставления гарантии), или страна нерезидента, у которого были приобретены указанные ценные бумаги (если только страна продавца не совпадает со страной юридического лица).</w:t>
      </w:r>
    </w:p>
    <w:p w14:paraId="3B4EE3F1" w14:textId="7E84E11B" w:rsidR="00540D49" w:rsidRDefault="00540D49" w:rsidP="00C3215C">
      <w:pPr>
        <w:tabs>
          <w:tab w:val="left" w:pos="851"/>
          <w:tab w:val="left" w:pos="993"/>
        </w:tabs>
        <w:autoSpaceDE w:val="0"/>
        <w:autoSpaceDN w:val="0"/>
        <w:adjustRightInd w:val="0"/>
        <w:spacing w:after="0" w:line="360" w:lineRule="auto"/>
        <w:ind w:firstLine="709"/>
        <w:jc w:val="both"/>
        <w:outlineLvl w:val="0"/>
        <w:rPr>
          <w:rFonts w:ascii="Times New Roman" w:hAnsi="Times New Roman"/>
          <w:color w:val="000000" w:themeColor="text1"/>
          <w:sz w:val="28"/>
          <w:szCs w:val="28"/>
        </w:rPr>
      </w:pPr>
      <w:r w:rsidRPr="007B438D">
        <w:rPr>
          <w:rFonts w:ascii="Times New Roman" w:hAnsi="Times New Roman"/>
          <w:color w:val="000000" w:themeColor="text1"/>
          <w:sz w:val="28"/>
          <w:szCs w:val="28"/>
        </w:rPr>
        <w:t xml:space="preserve">Для депозитарных расписок на ценные бумаги резидентов, депозитарных расписок на ценные бумаги нерезидентов в графе </w:t>
      </w:r>
      <w:r w:rsidR="00F2773D">
        <w:rPr>
          <w:rFonts w:ascii="Times New Roman" w:hAnsi="Times New Roman"/>
          <w:color w:val="000000" w:themeColor="text1"/>
          <w:sz w:val="28"/>
          <w:szCs w:val="28"/>
        </w:rPr>
        <w:t>«</w:t>
      </w:r>
      <w:r w:rsidR="00F2773D" w:rsidRPr="00F2773D">
        <w:rPr>
          <w:rFonts w:ascii="Times New Roman" w:hAnsi="Times New Roman"/>
          <w:color w:val="000000" w:themeColor="text1"/>
          <w:sz w:val="28"/>
          <w:szCs w:val="28"/>
        </w:rPr>
        <w:t>Код страны эмитента по ОКСМ</w:t>
      </w:r>
      <w:r w:rsidR="00F2773D">
        <w:rPr>
          <w:rFonts w:ascii="Times New Roman" w:hAnsi="Times New Roman"/>
          <w:color w:val="000000" w:themeColor="text1"/>
          <w:sz w:val="28"/>
          <w:szCs w:val="28"/>
        </w:rPr>
        <w:t>»</w:t>
      </w:r>
      <w:r w:rsidRPr="007B438D">
        <w:rPr>
          <w:rFonts w:ascii="Times New Roman" w:hAnsi="Times New Roman"/>
          <w:color w:val="000000" w:themeColor="text1"/>
          <w:sz w:val="28"/>
          <w:szCs w:val="28"/>
        </w:rPr>
        <w:t xml:space="preserve"> подраздела 4.1 указывается код страны, резидентом которой является эмитент представляемых ценных бумаг.</w:t>
      </w:r>
    </w:p>
    <w:p w14:paraId="0700747F" w14:textId="6E16A95A" w:rsidR="005E6699" w:rsidRDefault="005E6699" w:rsidP="00C3215C">
      <w:pPr>
        <w:tabs>
          <w:tab w:val="left" w:pos="851"/>
          <w:tab w:val="left" w:pos="993"/>
        </w:tabs>
        <w:autoSpaceDE w:val="0"/>
        <w:autoSpaceDN w:val="0"/>
        <w:adjustRightInd w:val="0"/>
        <w:spacing w:after="0" w:line="360" w:lineRule="auto"/>
        <w:ind w:firstLine="709"/>
        <w:jc w:val="both"/>
        <w:outlineLvl w:val="0"/>
        <w:rPr>
          <w:rFonts w:ascii="Times New Roman" w:hAnsi="Times New Roman"/>
          <w:color w:val="000000" w:themeColor="text1"/>
          <w:sz w:val="28"/>
          <w:szCs w:val="28"/>
        </w:rPr>
      </w:pPr>
    </w:p>
    <w:p w14:paraId="766BDD19" w14:textId="5BDA9772" w:rsidR="005E6699" w:rsidRDefault="005E6699" w:rsidP="00C3215C">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Глава 7. Составление раздела 5 Отчета</w:t>
      </w:r>
    </w:p>
    <w:p w14:paraId="6BF0E9B8" w14:textId="2C322DCC" w:rsidR="005E6699" w:rsidRDefault="005E6699" w:rsidP="00C3215C">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rPr>
      </w:pPr>
    </w:p>
    <w:p w14:paraId="1C13B212" w14:textId="79CAFA78" w:rsidR="005E6699" w:rsidRPr="005E6699" w:rsidRDefault="005E6699" w:rsidP="005E6699">
      <w:pPr>
        <w:pStyle w:val="a3"/>
        <w:numPr>
          <w:ilvl w:val="1"/>
          <w:numId w:val="17"/>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7B438D">
        <w:rPr>
          <w:rFonts w:ascii="Times New Roman" w:eastAsia="Calibri" w:hAnsi="Times New Roman"/>
          <w:color w:val="000000" w:themeColor="text1"/>
          <w:sz w:val="28"/>
          <w:szCs w:val="28"/>
        </w:rPr>
        <w:t>В разделе 5 Отчета (далее – раздел 5) отражается информация о сделках принудительного закрытия позиции клиента за каждый торговый день отчетного периода, в течение которого сделки заключались.</w:t>
      </w:r>
    </w:p>
    <w:p w14:paraId="1AFD2C70" w14:textId="2CD6E899" w:rsidR="00DD0851" w:rsidRDefault="00DD0851" w:rsidP="005E6699">
      <w:pPr>
        <w:pStyle w:val="a3"/>
        <w:numPr>
          <w:ilvl w:val="1"/>
          <w:numId w:val="17"/>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DD0851">
        <w:rPr>
          <w:rFonts w:ascii="Times New Roman" w:hAnsi="Times New Roman"/>
          <w:sz w:val="28"/>
          <w:szCs w:val="28"/>
          <w:lang w:eastAsia="ru-RU"/>
        </w:rPr>
        <w:lastRenderedPageBreak/>
        <w:t xml:space="preserve">Информация по показателям раздела 5 </w:t>
      </w:r>
      <w:r>
        <w:rPr>
          <w:rFonts w:ascii="Times New Roman" w:hAnsi="Times New Roman"/>
          <w:sz w:val="28"/>
          <w:szCs w:val="28"/>
          <w:lang w:eastAsia="ru-RU"/>
        </w:rPr>
        <w:t>О</w:t>
      </w:r>
      <w:r w:rsidRPr="00DD0851">
        <w:rPr>
          <w:rFonts w:ascii="Times New Roman" w:hAnsi="Times New Roman"/>
          <w:sz w:val="28"/>
          <w:szCs w:val="28"/>
          <w:lang w:eastAsia="ru-RU"/>
        </w:rPr>
        <w:t>тчет</w:t>
      </w:r>
      <w:r>
        <w:rPr>
          <w:rFonts w:ascii="Times New Roman" w:hAnsi="Times New Roman"/>
          <w:sz w:val="28"/>
          <w:szCs w:val="28"/>
          <w:lang w:eastAsia="ru-RU"/>
        </w:rPr>
        <w:t xml:space="preserve">а </w:t>
      </w:r>
      <w:r w:rsidRPr="00DD0851">
        <w:rPr>
          <w:rFonts w:ascii="Times New Roman" w:hAnsi="Times New Roman"/>
          <w:sz w:val="28"/>
          <w:szCs w:val="28"/>
          <w:lang w:eastAsia="ru-RU"/>
        </w:rPr>
        <w:t>раскрывается в разрезе следующих</w:t>
      </w:r>
      <w:r>
        <w:rPr>
          <w:rFonts w:ascii="Times New Roman" w:hAnsi="Times New Roman"/>
          <w:sz w:val="28"/>
          <w:szCs w:val="28"/>
          <w:lang w:eastAsia="ru-RU"/>
        </w:rPr>
        <w:t xml:space="preserve"> граф.</w:t>
      </w:r>
    </w:p>
    <w:p w14:paraId="4BA5F9C4" w14:textId="14AA31C1" w:rsidR="00DD0851" w:rsidRPr="002B24CF" w:rsidRDefault="00846814" w:rsidP="00DD0851">
      <w:pPr>
        <w:pStyle w:val="a3"/>
        <w:numPr>
          <w:ilvl w:val="2"/>
          <w:numId w:val="17"/>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Pr>
          <w:rFonts w:ascii="Times New Roman" w:hAnsi="Times New Roman"/>
          <w:sz w:val="28"/>
          <w:szCs w:val="28"/>
        </w:rPr>
        <w:t>В графах</w:t>
      </w:r>
      <w:r w:rsidR="00DD0851">
        <w:rPr>
          <w:rFonts w:ascii="Times New Roman" w:hAnsi="Times New Roman"/>
          <w:sz w:val="28"/>
          <w:szCs w:val="28"/>
        </w:rPr>
        <w:t xml:space="preserve"> </w:t>
      </w:r>
      <w:r w:rsidR="00DD0851">
        <w:rPr>
          <w:rFonts w:ascii="Times New Roman" w:eastAsia="Calibri" w:hAnsi="Times New Roman"/>
          <w:color w:val="000000" w:themeColor="text1"/>
          <w:sz w:val="28"/>
          <w:szCs w:val="28"/>
        </w:rPr>
        <w:t>«</w:t>
      </w:r>
      <w:r w:rsidR="00DD0851" w:rsidRPr="00334760">
        <w:rPr>
          <w:rFonts w:ascii="Times New Roman" w:eastAsia="Calibri" w:hAnsi="Times New Roman"/>
          <w:color w:val="000000" w:themeColor="text1"/>
          <w:sz w:val="28"/>
          <w:szCs w:val="28"/>
        </w:rPr>
        <w:t>Тип клиента</w:t>
      </w:r>
      <w:r w:rsidR="00DD0851">
        <w:rPr>
          <w:rFonts w:ascii="Times New Roman" w:eastAsia="Calibri" w:hAnsi="Times New Roman"/>
          <w:color w:val="000000" w:themeColor="text1"/>
          <w:sz w:val="28"/>
          <w:szCs w:val="28"/>
        </w:rPr>
        <w:t>», «</w:t>
      </w:r>
      <w:r w:rsidR="00DD0851" w:rsidRPr="00334760">
        <w:rPr>
          <w:rFonts w:ascii="Times New Roman" w:eastAsia="Calibri" w:hAnsi="Times New Roman"/>
          <w:color w:val="000000" w:themeColor="text1"/>
          <w:sz w:val="28"/>
          <w:szCs w:val="28"/>
        </w:rPr>
        <w:t>Резидентский статус</w:t>
      </w:r>
      <w:r w:rsidR="00DD0851">
        <w:rPr>
          <w:rFonts w:ascii="Times New Roman" w:eastAsia="Calibri" w:hAnsi="Times New Roman"/>
          <w:color w:val="000000" w:themeColor="text1"/>
          <w:sz w:val="28"/>
          <w:szCs w:val="28"/>
        </w:rPr>
        <w:t>», «</w:t>
      </w:r>
      <w:r w:rsidR="00DD0851" w:rsidRPr="00334760">
        <w:rPr>
          <w:rFonts w:ascii="Times New Roman" w:eastAsia="Calibri" w:hAnsi="Times New Roman"/>
          <w:color w:val="000000" w:themeColor="text1"/>
          <w:sz w:val="28"/>
          <w:szCs w:val="28"/>
        </w:rPr>
        <w:t>Уровень риска</w:t>
      </w:r>
      <w:r w:rsidR="00DD0851">
        <w:rPr>
          <w:rFonts w:ascii="Times New Roman" w:eastAsia="Calibri" w:hAnsi="Times New Roman"/>
          <w:color w:val="000000" w:themeColor="text1"/>
          <w:sz w:val="28"/>
          <w:szCs w:val="28"/>
        </w:rPr>
        <w:t>», «</w:t>
      </w:r>
      <w:r w:rsidR="00DD0851" w:rsidRPr="00334760">
        <w:rPr>
          <w:rFonts w:ascii="Times New Roman" w:eastAsia="Calibri" w:hAnsi="Times New Roman"/>
          <w:color w:val="000000" w:themeColor="text1"/>
          <w:sz w:val="28"/>
          <w:szCs w:val="28"/>
        </w:rPr>
        <w:t>Квалификация инвестора</w:t>
      </w:r>
      <w:r w:rsidR="00DD0851">
        <w:rPr>
          <w:rFonts w:ascii="Times New Roman" w:eastAsia="Calibri" w:hAnsi="Times New Roman"/>
          <w:color w:val="000000" w:themeColor="text1"/>
          <w:sz w:val="28"/>
          <w:szCs w:val="28"/>
        </w:rPr>
        <w:t>» в соответствии с подпунктами 2.2.1 – 2.2.4 пункта 2.2 настоящего Порядка.</w:t>
      </w:r>
    </w:p>
    <w:p w14:paraId="75FB4EC4" w14:textId="16BD09B9" w:rsidR="002B24CF" w:rsidRPr="002B24CF" w:rsidRDefault="00846814" w:rsidP="00F2773D">
      <w:pPr>
        <w:pStyle w:val="a3"/>
        <w:numPr>
          <w:ilvl w:val="2"/>
          <w:numId w:val="17"/>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Pr>
          <w:rFonts w:ascii="Times New Roman" w:eastAsia="Calibri" w:hAnsi="Times New Roman"/>
          <w:color w:val="000000" w:themeColor="text1"/>
          <w:sz w:val="28"/>
          <w:szCs w:val="28"/>
        </w:rPr>
        <w:t>В</w:t>
      </w:r>
      <w:r w:rsidR="002B24CF">
        <w:rPr>
          <w:rFonts w:ascii="Times New Roman" w:eastAsia="Calibri" w:hAnsi="Times New Roman"/>
          <w:color w:val="000000" w:themeColor="text1"/>
          <w:sz w:val="28"/>
          <w:szCs w:val="28"/>
        </w:rPr>
        <w:t xml:space="preserve"> </w:t>
      </w:r>
      <w:r w:rsidR="002B24CF" w:rsidRPr="007B438D">
        <w:rPr>
          <w:rFonts w:ascii="Times New Roman" w:eastAsia="Calibri" w:hAnsi="Times New Roman"/>
          <w:color w:val="000000" w:themeColor="text1"/>
          <w:sz w:val="28"/>
          <w:szCs w:val="28"/>
        </w:rPr>
        <w:t>графе</w:t>
      </w:r>
      <w:r w:rsidR="002B24CF">
        <w:rPr>
          <w:rFonts w:ascii="Times New Roman" w:eastAsia="Calibri" w:hAnsi="Times New Roman"/>
          <w:color w:val="000000" w:themeColor="text1"/>
          <w:sz w:val="28"/>
          <w:szCs w:val="28"/>
        </w:rPr>
        <w:t xml:space="preserve"> «</w:t>
      </w:r>
      <w:r w:rsidR="002B24CF" w:rsidRPr="005E6699">
        <w:rPr>
          <w:rFonts w:ascii="Times New Roman" w:eastAsia="Calibri" w:hAnsi="Times New Roman"/>
          <w:color w:val="000000" w:themeColor="text1"/>
          <w:sz w:val="28"/>
          <w:szCs w:val="28"/>
        </w:rPr>
        <w:t>Группа клиентов по объему сделок принудительного закрытия</w:t>
      </w:r>
      <w:r w:rsidR="002B24CF">
        <w:rPr>
          <w:rFonts w:ascii="Times New Roman" w:eastAsia="Calibri" w:hAnsi="Times New Roman"/>
          <w:color w:val="000000" w:themeColor="text1"/>
          <w:sz w:val="28"/>
          <w:szCs w:val="28"/>
        </w:rPr>
        <w:t xml:space="preserve">» </w:t>
      </w:r>
      <w:r w:rsidR="002B24CF" w:rsidRPr="007B438D">
        <w:rPr>
          <w:rFonts w:ascii="Times New Roman" w:eastAsia="Calibri" w:hAnsi="Times New Roman"/>
          <w:color w:val="000000" w:themeColor="text1"/>
          <w:sz w:val="28"/>
          <w:szCs w:val="28"/>
        </w:rPr>
        <w:t>указывается суммарное значение по сделкам принудительного закрытия в зависимости от общей стоимости заключенных в течение торгового дня сделок принудительного закрытия, указанной в граф</w:t>
      </w:r>
      <w:r w:rsidR="00F2773D">
        <w:rPr>
          <w:rFonts w:ascii="Times New Roman" w:eastAsia="Calibri" w:hAnsi="Times New Roman"/>
          <w:color w:val="000000" w:themeColor="text1"/>
          <w:sz w:val="28"/>
          <w:szCs w:val="28"/>
        </w:rPr>
        <w:t>е</w:t>
      </w:r>
      <w:r w:rsidR="002B24CF" w:rsidRPr="007B438D">
        <w:rPr>
          <w:rFonts w:ascii="Times New Roman" w:eastAsia="Calibri" w:hAnsi="Times New Roman"/>
          <w:color w:val="000000" w:themeColor="text1"/>
          <w:sz w:val="28"/>
          <w:szCs w:val="28"/>
        </w:rPr>
        <w:t> </w:t>
      </w:r>
      <w:r w:rsidR="00F2773D">
        <w:rPr>
          <w:rFonts w:ascii="Times New Roman" w:eastAsia="Calibri" w:hAnsi="Times New Roman"/>
          <w:color w:val="000000" w:themeColor="text1"/>
          <w:sz w:val="28"/>
          <w:szCs w:val="28"/>
        </w:rPr>
        <w:t>«</w:t>
      </w:r>
      <w:r w:rsidR="00F2773D" w:rsidRPr="00F2773D">
        <w:rPr>
          <w:rFonts w:ascii="Times New Roman" w:eastAsia="Calibri" w:hAnsi="Times New Roman"/>
          <w:color w:val="000000" w:themeColor="text1"/>
          <w:sz w:val="28"/>
          <w:szCs w:val="28"/>
        </w:rPr>
        <w:t>Объем сделок принудительного закрытия</w:t>
      </w:r>
      <w:r w:rsidR="00F2773D">
        <w:rPr>
          <w:rFonts w:ascii="Times New Roman" w:eastAsia="Calibri" w:hAnsi="Times New Roman"/>
          <w:color w:val="000000" w:themeColor="text1"/>
          <w:sz w:val="28"/>
          <w:szCs w:val="28"/>
        </w:rPr>
        <w:t>»</w:t>
      </w:r>
      <w:r w:rsidR="002B24CF" w:rsidRPr="007B438D">
        <w:rPr>
          <w:rFonts w:ascii="Times New Roman" w:eastAsia="Calibri" w:hAnsi="Times New Roman"/>
          <w:color w:val="000000" w:themeColor="text1"/>
          <w:sz w:val="28"/>
          <w:szCs w:val="28"/>
        </w:rPr>
        <w:t xml:space="preserve"> раздела 5. Информация раскрывается в отношении каждого портфеля клиента </w:t>
      </w:r>
      <w:r w:rsidR="002B24CF">
        <w:rPr>
          <w:rFonts w:ascii="Times New Roman" w:eastAsia="Calibri" w:hAnsi="Times New Roman"/>
          <w:color w:val="000000" w:themeColor="text1"/>
          <w:sz w:val="28"/>
          <w:szCs w:val="28"/>
        </w:rPr>
        <w:t xml:space="preserve">в соответствии со значениями, приведенными </w:t>
      </w:r>
      <w:r w:rsidR="002B24CF" w:rsidRPr="007B438D">
        <w:rPr>
          <w:rFonts w:ascii="Times New Roman" w:eastAsia="Calibri" w:hAnsi="Times New Roman"/>
          <w:color w:val="000000" w:themeColor="text1"/>
          <w:sz w:val="28"/>
          <w:szCs w:val="28"/>
        </w:rPr>
        <w:t>в</w:t>
      </w:r>
      <w:r w:rsidR="002B24CF">
        <w:rPr>
          <w:rFonts w:ascii="Times New Roman" w:eastAsia="Calibri" w:hAnsi="Times New Roman"/>
          <w:color w:val="000000" w:themeColor="text1"/>
          <w:sz w:val="28"/>
          <w:szCs w:val="28"/>
        </w:rPr>
        <w:t xml:space="preserve"> абзацах восьмом – тринадцатом подпункта 2.2.7 пункта 2.2</w:t>
      </w:r>
      <w:r w:rsidR="002B24CF" w:rsidRPr="007B438D">
        <w:rPr>
          <w:rFonts w:ascii="Times New Roman" w:eastAsia="Calibri" w:hAnsi="Times New Roman"/>
          <w:color w:val="000000" w:themeColor="text1"/>
          <w:sz w:val="28"/>
          <w:szCs w:val="28"/>
        </w:rPr>
        <w:t xml:space="preserve"> настоящего Порядка</w:t>
      </w:r>
      <w:r w:rsidR="002B24CF">
        <w:rPr>
          <w:rFonts w:ascii="Times New Roman" w:eastAsia="Calibri" w:hAnsi="Times New Roman"/>
          <w:color w:val="000000" w:themeColor="text1"/>
          <w:sz w:val="28"/>
          <w:szCs w:val="28"/>
        </w:rPr>
        <w:t>.</w:t>
      </w:r>
    </w:p>
    <w:p w14:paraId="4B49B5F4" w14:textId="474B1923" w:rsidR="002B24CF" w:rsidRPr="00DD0851" w:rsidRDefault="00846814" w:rsidP="002B24CF">
      <w:pPr>
        <w:pStyle w:val="a3"/>
        <w:numPr>
          <w:ilvl w:val="2"/>
          <w:numId w:val="17"/>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Pr>
          <w:rFonts w:ascii="Times New Roman" w:hAnsi="Times New Roman"/>
          <w:sz w:val="28"/>
          <w:szCs w:val="28"/>
        </w:rPr>
        <w:t>В</w:t>
      </w:r>
      <w:r w:rsidR="002B24CF">
        <w:rPr>
          <w:rFonts w:ascii="Times New Roman" w:hAnsi="Times New Roman"/>
          <w:sz w:val="28"/>
          <w:szCs w:val="28"/>
        </w:rPr>
        <w:t xml:space="preserve"> </w:t>
      </w:r>
      <w:r w:rsidR="002B24CF">
        <w:rPr>
          <w:rFonts w:ascii="Times New Roman" w:eastAsia="Calibri" w:hAnsi="Times New Roman"/>
          <w:color w:val="000000" w:themeColor="text1"/>
          <w:sz w:val="28"/>
          <w:szCs w:val="28"/>
        </w:rPr>
        <w:t>графе «</w:t>
      </w:r>
      <w:r w:rsidR="002B24CF" w:rsidRPr="006D15F8">
        <w:rPr>
          <w:rFonts w:ascii="Times New Roman" w:eastAsia="Calibri" w:hAnsi="Times New Roman"/>
          <w:color w:val="000000" w:themeColor="text1"/>
          <w:sz w:val="28"/>
          <w:szCs w:val="28"/>
        </w:rPr>
        <w:t>Дата торгового дня отчетного периода</w:t>
      </w:r>
      <w:r w:rsidR="002B24CF">
        <w:rPr>
          <w:rFonts w:ascii="Times New Roman" w:eastAsia="Calibri" w:hAnsi="Times New Roman"/>
          <w:color w:val="000000" w:themeColor="text1"/>
          <w:sz w:val="28"/>
          <w:szCs w:val="28"/>
        </w:rPr>
        <w:t>» в соответствии с подпунктом 3.2.4 пункта 3.2 настоящего Порядка.</w:t>
      </w:r>
    </w:p>
    <w:p w14:paraId="1EBE23E9" w14:textId="30F37F72" w:rsidR="002B24CF" w:rsidRPr="002B24CF" w:rsidRDefault="00F2773D" w:rsidP="005E6699">
      <w:pPr>
        <w:pStyle w:val="a3"/>
        <w:numPr>
          <w:ilvl w:val="1"/>
          <w:numId w:val="17"/>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Pr>
          <w:rFonts w:ascii="Times New Roman" w:hAnsi="Times New Roman"/>
          <w:color w:val="000000"/>
          <w:sz w:val="28"/>
          <w:szCs w:val="28"/>
        </w:rPr>
        <w:t>Графа «Количество клиентов» раздела 5 заполняется так же, как графа «Количество клиентов» раздела 1. Графа «Количество портфелей клиентов» раздела 5 заполняется так же, как графа «Количество портфелей клиентов» раздела 1.</w:t>
      </w:r>
    </w:p>
    <w:p w14:paraId="2B5C0B8A" w14:textId="229A60E7" w:rsidR="005E6699" w:rsidRPr="005E6699" w:rsidRDefault="005E6699" w:rsidP="00F2773D">
      <w:pPr>
        <w:pStyle w:val="a3"/>
        <w:numPr>
          <w:ilvl w:val="1"/>
          <w:numId w:val="17"/>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7B438D">
        <w:rPr>
          <w:rFonts w:ascii="Times New Roman" w:eastAsia="Calibri" w:hAnsi="Times New Roman"/>
          <w:color w:val="000000" w:themeColor="text1"/>
          <w:sz w:val="28"/>
          <w:szCs w:val="28"/>
        </w:rPr>
        <w:t xml:space="preserve">В графе </w:t>
      </w:r>
      <w:r w:rsidR="00F2773D">
        <w:rPr>
          <w:rFonts w:ascii="Times New Roman" w:eastAsia="Calibri" w:hAnsi="Times New Roman"/>
          <w:color w:val="000000" w:themeColor="text1"/>
          <w:sz w:val="28"/>
          <w:szCs w:val="28"/>
        </w:rPr>
        <w:t>«</w:t>
      </w:r>
      <w:r w:rsidR="00F2773D" w:rsidRPr="00F2773D">
        <w:rPr>
          <w:rFonts w:ascii="Times New Roman" w:eastAsia="Calibri" w:hAnsi="Times New Roman"/>
          <w:color w:val="000000" w:themeColor="text1"/>
          <w:sz w:val="28"/>
          <w:szCs w:val="28"/>
        </w:rPr>
        <w:t>Количество сделок принудительного закрытия</w:t>
      </w:r>
      <w:r w:rsidR="00F2773D">
        <w:rPr>
          <w:rFonts w:ascii="Times New Roman" w:eastAsia="Calibri" w:hAnsi="Times New Roman"/>
          <w:color w:val="000000" w:themeColor="text1"/>
          <w:sz w:val="28"/>
          <w:szCs w:val="28"/>
        </w:rPr>
        <w:t>»</w:t>
      </w:r>
      <w:r w:rsidRPr="007B438D">
        <w:rPr>
          <w:rFonts w:ascii="Times New Roman" w:eastAsia="Calibri" w:hAnsi="Times New Roman"/>
          <w:color w:val="000000" w:themeColor="text1"/>
          <w:sz w:val="28"/>
          <w:szCs w:val="28"/>
        </w:rPr>
        <w:t xml:space="preserve"> раздела 5 указывается количество сделок принудительного закрытия, заключенных кредитной организацией – брокером в течение торгового дня, указанного </w:t>
      </w:r>
      <w:r w:rsidR="00421400">
        <w:rPr>
          <w:rFonts w:ascii="Times New Roman" w:eastAsia="Calibri" w:hAnsi="Times New Roman"/>
          <w:color w:val="000000" w:themeColor="text1"/>
          <w:sz w:val="28"/>
          <w:szCs w:val="28"/>
        </w:rPr>
        <w:t>в</w:t>
      </w:r>
      <w:r w:rsidRPr="007B438D">
        <w:rPr>
          <w:rFonts w:ascii="Times New Roman" w:eastAsia="Calibri" w:hAnsi="Times New Roman"/>
          <w:color w:val="000000" w:themeColor="text1"/>
          <w:sz w:val="28"/>
          <w:szCs w:val="28"/>
        </w:rPr>
        <w:t xml:space="preserve"> графе</w:t>
      </w:r>
      <w:r>
        <w:rPr>
          <w:rFonts w:ascii="Times New Roman" w:eastAsia="Calibri" w:hAnsi="Times New Roman"/>
          <w:color w:val="000000" w:themeColor="text1"/>
          <w:sz w:val="28"/>
          <w:szCs w:val="28"/>
        </w:rPr>
        <w:t xml:space="preserve"> «</w:t>
      </w:r>
      <w:r w:rsidRPr="005E6699">
        <w:rPr>
          <w:rFonts w:ascii="Times New Roman" w:eastAsia="Calibri" w:hAnsi="Times New Roman"/>
          <w:color w:val="000000" w:themeColor="text1"/>
          <w:sz w:val="28"/>
          <w:szCs w:val="28"/>
        </w:rPr>
        <w:t>Дата торгового дня отчетного периода</w:t>
      </w:r>
      <w:r>
        <w:rPr>
          <w:rFonts w:ascii="Times New Roman" w:eastAsia="Calibri" w:hAnsi="Times New Roman"/>
          <w:color w:val="000000" w:themeColor="text1"/>
          <w:sz w:val="28"/>
          <w:szCs w:val="28"/>
        </w:rPr>
        <w:t>».</w:t>
      </w:r>
    </w:p>
    <w:p w14:paraId="1E192AF0" w14:textId="51191242" w:rsidR="005E6699" w:rsidRPr="005E6699" w:rsidRDefault="005E6699" w:rsidP="005E6699">
      <w:pPr>
        <w:pStyle w:val="a3"/>
        <w:numPr>
          <w:ilvl w:val="1"/>
          <w:numId w:val="17"/>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7B438D">
        <w:rPr>
          <w:rFonts w:ascii="Times New Roman" w:eastAsia="Calibri" w:hAnsi="Times New Roman"/>
          <w:color w:val="000000" w:themeColor="text1"/>
          <w:sz w:val="28"/>
          <w:szCs w:val="28"/>
        </w:rPr>
        <w:t>В граф</w:t>
      </w:r>
      <w:r w:rsidR="00F2773D">
        <w:rPr>
          <w:rFonts w:ascii="Times New Roman" w:eastAsia="Calibri" w:hAnsi="Times New Roman"/>
          <w:color w:val="000000" w:themeColor="text1"/>
          <w:sz w:val="28"/>
          <w:szCs w:val="28"/>
        </w:rPr>
        <w:t>е</w:t>
      </w:r>
      <w:r w:rsidRPr="007B438D">
        <w:rPr>
          <w:rFonts w:ascii="Times New Roman" w:eastAsia="Calibri" w:hAnsi="Times New Roman"/>
          <w:color w:val="000000" w:themeColor="text1"/>
          <w:sz w:val="28"/>
          <w:szCs w:val="28"/>
        </w:rPr>
        <w:t xml:space="preserve"> </w:t>
      </w:r>
      <w:r w:rsidR="00F2773D">
        <w:rPr>
          <w:rFonts w:ascii="Times New Roman" w:eastAsia="Calibri" w:hAnsi="Times New Roman"/>
          <w:color w:val="000000" w:themeColor="text1"/>
          <w:sz w:val="28"/>
          <w:szCs w:val="28"/>
        </w:rPr>
        <w:t>«</w:t>
      </w:r>
      <w:r w:rsidR="00F2773D" w:rsidRPr="00F2773D">
        <w:rPr>
          <w:rFonts w:ascii="Times New Roman" w:eastAsia="Calibri" w:hAnsi="Times New Roman"/>
          <w:color w:val="000000" w:themeColor="text1"/>
          <w:sz w:val="28"/>
          <w:szCs w:val="28"/>
        </w:rPr>
        <w:t>Объем сделок принудительного закрытия</w:t>
      </w:r>
      <w:r w:rsidR="00F2773D">
        <w:rPr>
          <w:rFonts w:ascii="Times New Roman" w:eastAsia="Calibri" w:hAnsi="Times New Roman"/>
          <w:color w:val="000000" w:themeColor="text1"/>
          <w:sz w:val="28"/>
          <w:szCs w:val="28"/>
        </w:rPr>
        <w:t xml:space="preserve">» </w:t>
      </w:r>
      <w:r w:rsidRPr="007B438D">
        <w:rPr>
          <w:rFonts w:ascii="Times New Roman" w:eastAsia="Calibri" w:hAnsi="Times New Roman"/>
          <w:color w:val="000000" w:themeColor="text1"/>
          <w:sz w:val="28"/>
          <w:szCs w:val="28"/>
        </w:rPr>
        <w:t xml:space="preserve">раздела 5 указываются объемы сделок принудительного закрытия. </w:t>
      </w:r>
      <w:r w:rsidR="002B24CF">
        <w:rPr>
          <w:rFonts w:ascii="Times New Roman" w:eastAsia="Calibri" w:hAnsi="Times New Roman"/>
          <w:color w:val="000000" w:themeColor="text1"/>
          <w:sz w:val="28"/>
          <w:szCs w:val="28"/>
        </w:rPr>
        <w:t>И</w:t>
      </w:r>
      <w:r w:rsidRPr="007B438D">
        <w:rPr>
          <w:rFonts w:ascii="Times New Roman" w:eastAsia="Calibri" w:hAnsi="Times New Roman"/>
          <w:color w:val="000000" w:themeColor="text1"/>
          <w:sz w:val="28"/>
          <w:szCs w:val="28"/>
        </w:rPr>
        <w:t>нформация раскрывается</w:t>
      </w:r>
      <w:r w:rsidRPr="007B438D">
        <w:rPr>
          <w:rFonts w:ascii="Times New Roman" w:eastAsia="Calibri" w:hAnsi="Times New Roman"/>
          <w:color w:val="000000" w:themeColor="text1"/>
        </w:rPr>
        <w:t xml:space="preserve"> </w:t>
      </w:r>
      <w:r w:rsidRPr="007B438D">
        <w:rPr>
          <w:rFonts w:ascii="Times New Roman" w:eastAsia="Calibri" w:hAnsi="Times New Roman"/>
          <w:color w:val="000000" w:themeColor="text1"/>
          <w:sz w:val="28"/>
          <w:szCs w:val="28"/>
        </w:rPr>
        <w:t>в следующих разрезах:</w:t>
      </w:r>
    </w:p>
    <w:p w14:paraId="148772CB" w14:textId="26C11DF5" w:rsidR="005E6699" w:rsidRPr="005E6699" w:rsidRDefault="005E6699" w:rsidP="005E6699">
      <w:pPr>
        <w:pStyle w:val="a3"/>
        <w:numPr>
          <w:ilvl w:val="2"/>
          <w:numId w:val="17"/>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7B438D">
        <w:rPr>
          <w:rFonts w:ascii="Times New Roman" w:eastAsia="Calibri" w:hAnsi="Times New Roman"/>
          <w:color w:val="000000" w:themeColor="text1"/>
          <w:sz w:val="28"/>
          <w:szCs w:val="28"/>
        </w:rPr>
        <w:t>По виду сделок:</w:t>
      </w:r>
    </w:p>
    <w:p w14:paraId="41E9DBDC" w14:textId="77777777" w:rsidR="005E6699" w:rsidRPr="007B438D" w:rsidRDefault="005E6699" w:rsidP="005E6699">
      <w:pPr>
        <w:tabs>
          <w:tab w:val="left" w:pos="851"/>
          <w:tab w:val="left" w:pos="993"/>
          <w:tab w:val="left" w:pos="1134"/>
        </w:tabs>
        <w:autoSpaceDE w:val="0"/>
        <w:autoSpaceDN w:val="0"/>
        <w:adjustRightInd w:val="0"/>
        <w:spacing w:after="0" w:line="360" w:lineRule="auto"/>
        <w:ind w:firstLine="709"/>
        <w:contextualSpacing/>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сделки с ценными бумагами;</w:t>
      </w:r>
    </w:p>
    <w:p w14:paraId="43A46110" w14:textId="77777777" w:rsidR="005E6699" w:rsidRPr="007B438D" w:rsidRDefault="005E6699" w:rsidP="005E6699">
      <w:pPr>
        <w:tabs>
          <w:tab w:val="left" w:pos="851"/>
          <w:tab w:val="left" w:pos="993"/>
          <w:tab w:val="left" w:pos="1134"/>
        </w:tabs>
        <w:autoSpaceDE w:val="0"/>
        <w:autoSpaceDN w:val="0"/>
        <w:adjustRightInd w:val="0"/>
        <w:spacing w:after="0" w:line="360" w:lineRule="auto"/>
        <w:ind w:firstLine="709"/>
        <w:contextualSpacing/>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сделки с иностранной валютой;</w:t>
      </w:r>
    </w:p>
    <w:p w14:paraId="142C69FF" w14:textId="77777777" w:rsidR="005E6699" w:rsidRPr="007B438D" w:rsidRDefault="005E6699" w:rsidP="005E6699">
      <w:pPr>
        <w:tabs>
          <w:tab w:val="left" w:pos="851"/>
          <w:tab w:val="left" w:pos="993"/>
          <w:tab w:val="left" w:pos="1134"/>
        </w:tabs>
        <w:autoSpaceDE w:val="0"/>
        <w:autoSpaceDN w:val="0"/>
        <w:adjustRightInd w:val="0"/>
        <w:spacing w:after="0" w:line="360" w:lineRule="auto"/>
        <w:ind w:firstLine="709"/>
        <w:contextualSpacing/>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сделки с ПФИ (фьючерсы);</w:t>
      </w:r>
    </w:p>
    <w:p w14:paraId="06EB248C" w14:textId="77777777" w:rsidR="005E6699" w:rsidRPr="007B438D" w:rsidRDefault="005E6699" w:rsidP="005E6699">
      <w:pPr>
        <w:tabs>
          <w:tab w:val="left" w:pos="851"/>
          <w:tab w:val="left" w:pos="993"/>
          <w:tab w:val="left" w:pos="1134"/>
        </w:tabs>
        <w:autoSpaceDE w:val="0"/>
        <w:autoSpaceDN w:val="0"/>
        <w:adjustRightInd w:val="0"/>
        <w:spacing w:after="0" w:line="360" w:lineRule="auto"/>
        <w:ind w:firstLine="709"/>
        <w:contextualSpacing/>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lastRenderedPageBreak/>
        <w:t>сделки с ПФИ (опционы);</w:t>
      </w:r>
    </w:p>
    <w:p w14:paraId="59A6F6C6" w14:textId="4018FCD0" w:rsidR="005E6699" w:rsidRDefault="005E6699" w:rsidP="005E6699">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прочие сделки.</w:t>
      </w:r>
    </w:p>
    <w:p w14:paraId="19A788CA" w14:textId="4F13140D" w:rsidR="005E6699" w:rsidRPr="005E6699" w:rsidRDefault="005E6699" w:rsidP="005E6699">
      <w:pPr>
        <w:pStyle w:val="a3"/>
        <w:numPr>
          <w:ilvl w:val="2"/>
          <w:numId w:val="17"/>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7B438D">
        <w:rPr>
          <w:rFonts w:ascii="Times New Roman" w:eastAsia="Calibri" w:hAnsi="Times New Roman"/>
          <w:color w:val="000000" w:themeColor="text1"/>
          <w:sz w:val="28"/>
          <w:szCs w:val="28"/>
        </w:rPr>
        <w:t>По направлению сделок:</w:t>
      </w:r>
    </w:p>
    <w:p w14:paraId="2CAD4A24" w14:textId="77777777" w:rsidR="005E6699" w:rsidRPr="007B438D" w:rsidRDefault="005E6699" w:rsidP="005E6699">
      <w:pPr>
        <w:tabs>
          <w:tab w:val="left" w:pos="851"/>
          <w:tab w:val="left" w:pos="993"/>
          <w:tab w:val="left" w:pos="1134"/>
        </w:tabs>
        <w:autoSpaceDE w:val="0"/>
        <w:autoSpaceDN w:val="0"/>
        <w:adjustRightInd w:val="0"/>
        <w:spacing w:after="0" w:line="360" w:lineRule="auto"/>
        <w:ind w:firstLine="709"/>
        <w:contextualSpacing/>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покупки;</w:t>
      </w:r>
    </w:p>
    <w:p w14:paraId="29F51968" w14:textId="7C8C25AA" w:rsidR="005E6699" w:rsidRDefault="005E6699" w:rsidP="005E6699">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продажи.</w:t>
      </w:r>
    </w:p>
    <w:p w14:paraId="278DD2FC" w14:textId="2963057A" w:rsidR="005E6699" w:rsidRPr="007A00BD" w:rsidRDefault="005E6699" w:rsidP="005E6699">
      <w:pPr>
        <w:pStyle w:val="a3"/>
        <w:numPr>
          <w:ilvl w:val="1"/>
          <w:numId w:val="17"/>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sidRPr="007B438D">
        <w:rPr>
          <w:rFonts w:ascii="Times New Roman" w:eastAsia="Calibri" w:hAnsi="Times New Roman"/>
          <w:color w:val="000000" w:themeColor="text1"/>
          <w:sz w:val="28"/>
          <w:szCs w:val="28"/>
          <w:lang w:eastAsia="ru-RU"/>
        </w:rPr>
        <w:t>Значения показателей граф</w:t>
      </w:r>
      <w:r w:rsidR="00F2773D">
        <w:rPr>
          <w:rFonts w:ascii="Times New Roman" w:eastAsia="Calibri" w:hAnsi="Times New Roman"/>
          <w:color w:val="000000" w:themeColor="text1"/>
          <w:sz w:val="28"/>
          <w:szCs w:val="28"/>
          <w:lang w:eastAsia="ru-RU"/>
        </w:rPr>
        <w:t>ы</w:t>
      </w:r>
      <w:r w:rsidRPr="007B438D">
        <w:rPr>
          <w:rFonts w:ascii="Times New Roman" w:eastAsia="Calibri" w:hAnsi="Times New Roman"/>
          <w:color w:val="000000" w:themeColor="text1"/>
          <w:sz w:val="28"/>
          <w:szCs w:val="28"/>
          <w:lang w:eastAsia="ru-RU"/>
        </w:rPr>
        <w:t xml:space="preserve"> </w:t>
      </w:r>
      <w:r w:rsidR="00F2773D">
        <w:rPr>
          <w:rFonts w:ascii="Times New Roman" w:eastAsia="Calibri" w:hAnsi="Times New Roman"/>
          <w:color w:val="000000" w:themeColor="text1"/>
          <w:sz w:val="28"/>
          <w:szCs w:val="28"/>
        </w:rPr>
        <w:t>«</w:t>
      </w:r>
      <w:r w:rsidR="00F2773D" w:rsidRPr="00F2773D">
        <w:rPr>
          <w:rFonts w:ascii="Times New Roman" w:eastAsia="Calibri" w:hAnsi="Times New Roman"/>
          <w:color w:val="000000" w:themeColor="text1"/>
          <w:sz w:val="28"/>
          <w:szCs w:val="28"/>
        </w:rPr>
        <w:t>Объем сделок принудительного закрытия</w:t>
      </w:r>
      <w:r w:rsidR="00F2773D">
        <w:rPr>
          <w:rFonts w:ascii="Times New Roman" w:eastAsia="Calibri" w:hAnsi="Times New Roman"/>
          <w:color w:val="000000" w:themeColor="text1"/>
          <w:sz w:val="28"/>
          <w:szCs w:val="28"/>
        </w:rPr>
        <w:t xml:space="preserve">» </w:t>
      </w:r>
      <w:r w:rsidRPr="007B438D">
        <w:rPr>
          <w:rFonts w:ascii="Times New Roman" w:eastAsia="Calibri" w:hAnsi="Times New Roman"/>
          <w:color w:val="000000" w:themeColor="text1"/>
          <w:sz w:val="28"/>
          <w:szCs w:val="28"/>
          <w:lang w:eastAsia="ru-RU"/>
        </w:rPr>
        <w:t>раздела 5 определяются в соответствии со следующими требованиями:</w:t>
      </w:r>
    </w:p>
    <w:p w14:paraId="2A0348AF" w14:textId="77777777" w:rsidR="007A00BD" w:rsidRPr="007B438D" w:rsidRDefault="007A00BD" w:rsidP="007A00BD">
      <w:pPr>
        <w:tabs>
          <w:tab w:val="left" w:pos="851"/>
          <w:tab w:val="left" w:pos="993"/>
          <w:tab w:val="left" w:pos="1134"/>
        </w:tabs>
        <w:autoSpaceDE w:val="0"/>
        <w:autoSpaceDN w:val="0"/>
        <w:adjustRightInd w:val="0"/>
        <w:spacing w:after="0" w:line="360" w:lineRule="auto"/>
        <w:ind w:firstLine="709"/>
        <w:contextualSpacing/>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 xml:space="preserve">по видам сделок «Сделки с ценными бумагами», «Сделки с иностранной валютой» и «Прочие сделки» значения показателей определяются исходя из цены соответствующей сделки. В случае если цена выражена в иностранной валюте, показатель определяется в рублевом эквиваленте по официальному курсу Банка России на дату заключения сделки; </w:t>
      </w:r>
    </w:p>
    <w:p w14:paraId="5B082768" w14:textId="77777777" w:rsidR="007A00BD" w:rsidRPr="007B438D" w:rsidRDefault="007A00BD" w:rsidP="007A00BD">
      <w:pPr>
        <w:tabs>
          <w:tab w:val="left" w:pos="851"/>
          <w:tab w:val="left" w:pos="993"/>
          <w:tab w:val="left" w:pos="1134"/>
        </w:tabs>
        <w:autoSpaceDE w:val="0"/>
        <w:autoSpaceDN w:val="0"/>
        <w:adjustRightInd w:val="0"/>
        <w:spacing w:after="0" w:line="360" w:lineRule="auto"/>
        <w:ind w:firstLine="709"/>
        <w:contextualSpacing/>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значения показателей по сделкам с долговыми ценными бумагами определяются исходя из накопленного купонного дохода;</w:t>
      </w:r>
    </w:p>
    <w:p w14:paraId="62DCA5B5" w14:textId="77777777" w:rsidR="007A00BD" w:rsidRPr="007B438D" w:rsidRDefault="007A00BD" w:rsidP="007A00BD">
      <w:pPr>
        <w:tabs>
          <w:tab w:val="left" w:pos="851"/>
          <w:tab w:val="left" w:pos="993"/>
          <w:tab w:val="left" w:pos="1134"/>
        </w:tabs>
        <w:autoSpaceDE w:val="0"/>
        <w:autoSpaceDN w:val="0"/>
        <w:adjustRightInd w:val="0"/>
        <w:spacing w:after="0" w:line="360" w:lineRule="auto"/>
        <w:ind w:firstLine="709"/>
        <w:contextualSpacing/>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в значения показателей не включаются комиссии и прочие расходы по сделкам;</w:t>
      </w:r>
    </w:p>
    <w:p w14:paraId="02492862" w14:textId="55D684B4" w:rsidR="007A00BD" w:rsidRDefault="007A00BD" w:rsidP="007A00BD">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t xml:space="preserve">по видам сделок «Сделки с ПФИ (фьючерсы)» и «Сделки с ПФИ (опционы)» значения показателей определяются исходя из цены сделки, </w:t>
      </w:r>
      <w:r w:rsidRPr="007B438D">
        <w:rPr>
          <w:rFonts w:ascii="Times New Roman" w:eastAsia="Calibri" w:hAnsi="Times New Roman"/>
          <w:color w:val="000000" w:themeColor="text1"/>
          <w:sz w:val="28"/>
          <w:szCs w:val="28"/>
        </w:rPr>
        <w:br/>
        <w:t>а также значений интервала (шага) цены и стоимости шага цены соответствующего фьючерсного или опционного договора. В случае если стоимость шага цены выражена в иностранной валюте, для определения рублевого эквивалента необходимо использовать рублевое значение шага цены, опубликованное организатором торговли по состоянию на конец торгового дня заключения сделки. В случае отсутствия рублевого значения шага цены для цели определения цены сделки используется официальный курс Банка России на дату заключения сделки.</w:t>
      </w:r>
    </w:p>
    <w:p w14:paraId="21ADD146" w14:textId="24A7EDDE" w:rsidR="008920D3" w:rsidRDefault="008920D3" w:rsidP="007A00BD">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rPr>
      </w:pPr>
    </w:p>
    <w:p w14:paraId="595D346A" w14:textId="494BD4FA" w:rsidR="00831395" w:rsidRDefault="00831395" w:rsidP="007A00BD">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rPr>
      </w:pPr>
    </w:p>
    <w:p w14:paraId="7D364EA9" w14:textId="77777777" w:rsidR="00831395" w:rsidRDefault="00831395" w:rsidP="007A00BD">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rPr>
      </w:pPr>
    </w:p>
    <w:p w14:paraId="4216D281" w14:textId="75AC33F2" w:rsidR="008920D3" w:rsidRDefault="008920D3" w:rsidP="007A00BD">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rPr>
      </w:pPr>
      <w:r w:rsidRPr="007B438D">
        <w:rPr>
          <w:rFonts w:ascii="Times New Roman" w:eastAsia="Calibri" w:hAnsi="Times New Roman"/>
          <w:color w:val="000000" w:themeColor="text1"/>
          <w:sz w:val="28"/>
          <w:szCs w:val="28"/>
        </w:rPr>
        <w:lastRenderedPageBreak/>
        <w:t xml:space="preserve">Глава </w:t>
      </w:r>
      <w:r>
        <w:rPr>
          <w:rFonts w:ascii="Times New Roman" w:eastAsia="Calibri" w:hAnsi="Times New Roman"/>
          <w:color w:val="000000" w:themeColor="text1"/>
          <w:sz w:val="28"/>
          <w:szCs w:val="28"/>
        </w:rPr>
        <w:t>8</w:t>
      </w:r>
      <w:r w:rsidRPr="007B438D">
        <w:rPr>
          <w:rFonts w:ascii="Times New Roman" w:eastAsia="Calibri" w:hAnsi="Times New Roman"/>
          <w:color w:val="000000" w:themeColor="text1"/>
          <w:sz w:val="28"/>
          <w:szCs w:val="28"/>
        </w:rPr>
        <w:t>. Сос</w:t>
      </w:r>
      <w:bookmarkStart w:id="2" w:name="_GoBack"/>
      <w:bookmarkEnd w:id="2"/>
      <w:r w:rsidRPr="007B438D">
        <w:rPr>
          <w:rFonts w:ascii="Times New Roman" w:eastAsia="Calibri" w:hAnsi="Times New Roman"/>
          <w:color w:val="000000" w:themeColor="text1"/>
          <w:sz w:val="28"/>
          <w:szCs w:val="28"/>
        </w:rPr>
        <w:t>тавление</w:t>
      </w:r>
      <w:r>
        <w:rPr>
          <w:rFonts w:ascii="Times New Roman" w:eastAsia="Calibri" w:hAnsi="Times New Roman"/>
          <w:color w:val="000000" w:themeColor="text1"/>
          <w:sz w:val="28"/>
          <w:szCs w:val="28"/>
        </w:rPr>
        <w:t xml:space="preserve"> </w:t>
      </w:r>
      <w:r w:rsidR="00112945">
        <w:rPr>
          <w:rFonts w:ascii="Times New Roman" w:eastAsia="Calibri" w:hAnsi="Times New Roman"/>
          <w:color w:val="000000" w:themeColor="text1"/>
          <w:sz w:val="28"/>
          <w:szCs w:val="28"/>
        </w:rPr>
        <w:t>с</w:t>
      </w:r>
      <w:r>
        <w:rPr>
          <w:rFonts w:ascii="Times New Roman" w:eastAsia="Calibri" w:hAnsi="Times New Roman"/>
          <w:color w:val="000000" w:themeColor="text1"/>
          <w:sz w:val="28"/>
          <w:szCs w:val="28"/>
        </w:rPr>
        <w:t xml:space="preserve">опроводительной информации </w:t>
      </w:r>
      <w:r w:rsidR="00112945">
        <w:rPr>
          <w:rFonts w:ascii="Times New Roman" w:eastAsia="Calibri" w:hAnsi="Times New Roman"/>
          <w:color w:val="000000" w:themeColor="text1"/>
          <w:sz w:val="28"/>
          <w:szCs w:val="28"/>
        </w:rPr>
        <w:t>к Отчету</w:t>
      </w:r>
    </w:p>
    <w:p w14:paraId="6A51BEAD" w14:textId="77777777" w:rsidR="002E31CC" w:rsidRDefault="002E31CC" w:rsidP="007A00BD">
      <w:pPr>
        <w:tabs>
          <w:tab w:val="left" w:pos="851"/>
          <w:tab w:val="left" w:pos="993"/>
        </w:tabs>
        <w:autoSpaceDE w:val="0"/>
        <w:autoSpaceDN w:val="0"/>
        <w:adjustRightInd w:val="0"/>
        <w:spacing w:after="0" w:line="360" w:lineRule="auto"/>
        <w:ind w:firstLine="709"/>
        <w:jc w:val="both"/>
        <w:outlineLvl w:val="0"/>
        <w:rPr>
          <w:rFonts w:ascii="Times New Roman" w:eastAsia="Calibri" w:hAnsi="Times New Roman"/>
          <w:color w:val="000000" w:themeColor="text1"/>
          <w:sz w:val="28"/>
          <w:szCs w:val="28"/>
        </w:rPr>
      </w:pPr>
    </w:p>
    <w:p w14:paraId="23099CB1" w14:textId="4760B266" w:rsidR="008920D3" w:rsidRDefault="008920D3" w:rsidP="008920D3">
      <w:pPr>
        <w:pStyle w:val="a3"/>
        <w:numPr>
          <w:ilvl w:val="1"/>
          <w:numId w:val="19"/>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Pr>
          <w:rFonts w:ascii="Times New Roman" w:hAnsi="Times New Roman"/>
          <w:sz w:val="28"/>
          <w:szCs w:val="28"/>
        </w:rPr>
        <w:t xml:space="preserve">Отчет </w:t>
      </w:r>
      <w:r w:rsidRPr="008920D3">
        <w:rPr>
          <w:rFonts w:ascii="Times New Roman" w:hAnsi="Times New Roman"/>
          <w:sz w:val="28"/>
          <w:szCs w:val="28"/>
        </w:rPr>
        <w:t>представляется в Банк России вместе с сопроводительной информацие</w:t>
      </w:r>
      <w:r w:rsidR="0048762B">
        <w:rPr>
          <w:rFonts w:ascii="Times New Roman" w:hAnsi="Times New Roman"/>
          <w:sz w:val="28"/>
          <w:szCs w:val="28"/>
        </w:rPr>
        <w:t>й.</w:t>
      </w:r>
    </w:p>
    <w:p w14:paraId="173A8B98" w14:textId="0E37B8AD" w:rsidR="008920D3" w:rsidRDefault="008A33A4" w:rsidP="008920D3">
      <w:pPr>
        <w:pStyle w:val="a3"/>
        <w:numPr>
          <w:ilvl w:val="1"/>
          <w:numId w:val="19"/>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Pr>
          <w:rFonts w:ascii="Times New Roman" w:hAnsi="Times New Roman"/>
          <w:sz w:val="28"/>
          <w:szCs w:val="28"/>
        </w:rPr>
        <w:t>В</w:t>
      </w:r>
      <w:r w:rsidR="008920D3" w:rsidRPr="008920D3">
        <w:rPr>
          <w:rFonts w:ascii="Times New Roman" w:hAnsi="Times New Roman"/>
          <w:sz w:val="28"/>
          <w:szCs w:val="28"/>
        </w:rPr>
        <w:t xml:space="preserve"> </w:t>
      </w:r>
      <w:r w:rsidR="0048762B">
        <w:rPr>
          <w:rFonts w:ascii="Times New Roman" w:hAnsi="Times New Roman"/>
          <w:sz w:val="28"/>
          <w:szCs w:val="28"/>
        </w:rPr>
        <w:t>графе</w:t>
      </w:r>
      <w:r w:rsidR="008920D3" w:rsidRPr="008920D3">
        <w:rPr>
          <w:rFonts w:ascii="Times New Roman" w:hAnsi="Times New Roman"/>
          <w:sz w:val="28"/>
          <w:szCs w:val="28"/>
        </w:rPr>
        <w:t xml:space="preserve"> «Код территории по ОКАТО» </w:t>
      </w:r>
      <w:r w:rsidR="00E53B72">
        <w:rPr>
          <w:rFonts w:ascii="Times New Roman" w:hAnsi="Times New Roman"/>
          <w:sz w:val="28"/>
          <w:szCs w:val="28"/>
        </w:rPr>
        <w:t xml:space="preserve">сопроводительной информации </w:t>
      </w:r>
      <w:r w:rsidR="008920D3" w:rsidRPr="008920D3">
        <w:rPr>
          <w:rFonts w:ascii="Times New Roman" w:hAnsi="Times New Roman"/>
          <w:sz w:val="28"/>
          <w:szCs w:val="28"/>
        </w:rPr>
        <w:t xml:space="preserve">указывается в соответствии с Общероссийским классификатором объектов административно-территориального деления (ОКАТО) код субъекта Российской Федерации, на территории которого находится </w:t>
      </w:r>
      <w:r w:rsidR="008920D3">
        <w:rPr>
          <w:rFonts w:ascii="Times New Roman" w:hAnsi="Times New Roman"/>
          <w:sz w:val="28"/>
          <w:szCs w:val="28"/>
        </w:rPr>
        <w:t>кредитная организация - брокер</w:t>
      </w:r>
      <w:r w:rsidR="008920D3" w:rsidRPr="008920D3">
        <w:rPr>
          <w:rFonts w:ascii="Times New Roman" w:hAnsi="Times New Roman"/>
          <w:sz w:val="28"/>
          <w:szCs w:val="28"/>
        </w:rPr>
        <w:t>.</w:t>
      </w:r>
    </w:p>
    <w:p w14:paraId="38CBF462" w14:textId="57850F56" w:rsidR="008920D3" w:rsidRPr="00E53B72" w:rsidRDefault="008A33A4" w:rsidP="008920D3">
      <w:pPr>
        <w:pStyle w:val="a3"/>
        <w:numPr>
          <w:ilvl w:val="1"/>
          <w:numId w:val="19"/>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Pr>
          <w:rFonts w:ascii="Times New Roman" w:hAnsi="Times New Roman"/>
          <w:sz w:val="28"/>
          <w:szCs w:val="28"/>
        </w:rPr>
        <w:t>В</w:t>
      </w:r>
      <w:r w:rsidR="008920D3" w:rsidRPr="008920D3">
        <w:rPr>
          <w:rFonts w:ascii="Times New Roman" w:hAnsi="Times New Roman"/>
          <w:sz w:val="28"/>
          <w:szCs w:val="28"/>
        </w:rPr>
        <w:t xml:space="preserve"> </w:t>
      </w:r>
      <w:r>
        <w:rPr>
          <w:rFonts w:ascii="Times New Roman" w:hAnsi="Times New Roman"/>
          <w:sz w:val="28"/>
          <w:szCs w:val="28"/>
        </w:rPr>
        <w:t>графе</w:t>
      </w:r>
      <w:r w:rsidR="008920D3">
        <w:rPr>
          <w:rFonts w:ascii="Times New Roman" w:hAnsi="Times New Roman"/>
          <w:sz w:val="28"/>
          <w:szCs w:val="28"/>
        </w:rPr>
        <w:t xml:space="preserve"> «</w:t>
      </w:r>
      <w:r w:rsidR="008920D3" w:rsidRPr="008920D3">
        <w:rPr>
          <w:rFonts w:ascii="Times New Roman" w:hAnsi="Times New Roman"/>
          <w:sz w:val="28"/>
          <w:szCs w:val="28"/>
        </w:rPr>
        <w:t>Регистрационный номер кредитной организации (/порядковый номер филиала)</w:t>
      </w:r>
      <w:r w:rsidR="008920D3">
        <w:rPr>
          <w:rFonts w:ascii="Times New Roman" w:hAnsi="Times New Roman"/>
          <w:sz w:val="28"/>
          <w:szCs w:val="28"/>
        </w:rPr>
        <w:t xml:space="preserve">» </w:t>
      </w:r>
      <w:r w:rsidR="00E53B72">
        <w:rPr>
          <w:rFonts w:ascii="Times New Roman" w:hAnsi="Times New Roman"/>
          <w:sz w:val="28"/>
          <w:szCs w:val="28"/>
        </w:rPr>
        <w:t xml:space="preserve">сопроводительной информации </w:t>
      </w:r>
      <w:r w:rsidR="008920D3">
        <w:rPr>
          <w:rFonts w:ascii="Times New Roman" w:hAnsi="Times New Roman"/>
          <w:sz w:val="28"/>
          <w:szCs w:val="28"/>
        </w:rPr>
        <w:t xml:space="preserve">указывается </w:t>
      </w:r>
      <w:r w:rsidR="008920D3" w:rsidRPr="00E53B72">
        <w:rPr>
          <w:rFonts w:ascii="Times New Roman" w:hAnsi="Times New Roman"/>
          <w:sz w:val="28"/>
          <w:szCs w:val="28"/>
        </w:rPr>
        <w:t>регистрационный номер кредитной организации – брокера</w:t>
      </w:r>
      <w:r w:rsidR="00E53B72">
        <w:rPr>
          <w:rFonts w:ascii="Times New Roman" w:hAnsi="Times New Roman"/>
          <w:sz w:val="28"/>
          <w:szCs w:val="28"/>
        </w:rPr>
        <w:t xml:space="preserve"> </w:t>
      </w:r>
      <w:r w:rsidR="00E53B72" w:rsidRPr="007B438D">
        <w:rPr>
          <w:rFonts w:ascii="Times New Roman" w:hAnsi="Times New Roman"/>
          <w:color w:val="000000" w:themeColor="text1"/>
          <w:sz w:val="28"/>
          <w:szCs w:val="28"/>
          <w:lang w:eastAsia="ru-RU"/>
        </w:rPr>
        <w:t>и при наличии филиала – порядковый номер филиала</w:t>
      </w:r>
      <w:r w:rsidR="00E53B72" w:rsidRPr="00E53B72">
        <w:rPr>
          <w:rFonts w:ascii="Times New Roman" w:hAnsi="Times New Roman"/>
          <w:color w:val="000000" w:themeColor="text1"/>
          <w:sz w:val="28"/>
          <w:szCs w:val="28"/>
          <w:lang w:eastAsia="ru-RU"/>
        </w:rPr>
        <w:t xml:space="preserve"> </w:t>
      </w:r>
      <w:r w:rsidR="00E53B72" w:rsidRPr="007B438D">
        <w:rPr>
          <w:rFonts w:ascii="Times New Roman" w:hAnsi="Times New Roman"/>
          <w:color w:val="000000" w:themeColor="text1"/>
          <w:sz w:val="28"/>
          <w:szCs w:val="28"/>
          <w:lang w:eastAsia="ru-RU"/>
        </w:rPr>
        <w:t>в соответствии с Книгой государственной регистрации кредитных организаций, которая ведется Банком России в соответствии с частью третьей статьи 12 Федерального закона «О банках и банковской деятельности» (в редакции Федерального закона от 3 февраля 1996 года № 17-ФЗ)</w:t>
      </w:r>
      <w:r w:rsidR="00E53B72">
        <w:rPr>
          <w:rFonts w:ascii="Times New Roman" w:hAnsi="Times New Roman"/>
          <w:color w:val="000000" w:themeColor="text1"/>
          <w:sz w:val="28"/>
          <w:szCs w:val="28"/>
          <w:lang w:eastAsia="ru-RU"/>
        </w:rPr>
        <w:t>.</w:t>
      </w:r>
    </w:p>
    <w:p w14:paraId="2AD9C76E" w14:textId="19357260" w:rsidR="008920D3" w:rsidRDefault="008A33A4" w:rsidP="0010364F">
      <w:pPr>
        <w:pStyle w:val="a3"/>
        <w:numPr>
          <w:ilvl w:val="1"/>
          <w:numId w:val="19"/>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Pr>
          <w:rFonts w:ascii="Times New Roman" w:hAnsi="Times New Roman"/>
          <w:sz w:val="28"/>
          <w:szCs w:val="28"/>
        </w:rPr>
        <w:t>В графе</w:t>
      </w:r>
      <w:r w:rsidR="0010364F">
        <w:rPr>
          <w:rFonts w:ascii="Times New Roman" w:hAnsi="Times New Roman"/>
          <w:sz w:val="28"/>
          <w:szCs w:val="28"/>
        </w:rPr>
        <w:t xml:space="preserve"> «</w:t>
      </w:r>
      <w:r w:rsidR="0010364F" w:rsidRPr="0010364F">
        <w:rPr>
          <w:rFonts w:ascii="Times New Roman" w:hAnsi="Times New Roman"/>
          <w:sz w:val="28"/>
          <w:szCs w:val="28"/>
        </w:rPr>
        <w:t>Отчетная дата</w:t>
      </w:r>
      <w:r w:rsidR="0010364F">
        <w:rPr>
          <w:rFonts w:ascii="Times New Roman" w:hAnsi="Times New Roman"/>
          <w:sz w:val="28"/>
          <w:szCs w:val="28"/>
        </w:rPr>
        <w:t xml:space="preserve">» </w:t>
      </w:r>
      <w:r w:rsidR="00E53B72">
        <w:rPr>
          <w:rFonts w:ascii="Times New Roman" w:hAnsi="Times New Roman"/>
          <w:sz w:val="28"/>
          <w:szCs w:val="28"/>
        </w:rPr>
        <w:t xml:space="preserve">сопроводительной информации </w:t>
      </w:r>
      <w:r w:rsidR="0010364F">
        <w:rPr>
          <w:rFonts w:ascii="Times New Roman" w:hAnsi="Times New Roman"/>
          <w:sz w:val="28"/>
          <w:szCs w:val="28"/>
        </w:rPr>
        <w:t xml:space="preserve">указывается </w:t>
      </w:r>
      <w:r w:rsidR="0010364F" w:rsidRPr="00E53B72">
        <w:rPr>
          <w:rFonts w:ascii="Times New Roman" w:hAnsi="Times New Roman"/>
          <w:sz w:val="28"/>
          <w:szCs w:val="28"/>
        </w:rPr>
        <w:t>отчетная дата</w:t>
      </w:r>
      <w:r w:rsidR="00E53B72">
        <w:rPr>
          <w:rFonts w:ascii="Times New Roman" w:hAnsi="Times New Roman"/>
          <w:sz w:val="28"/>
          <w:szCs w:val="28"/>
        </w:rPr>
        <w:t>, по состоянию на которую составлен Отчет.</w:t>
      </w:r>
    </w:p>
    <w:p w14:paraId="5334A86A" w14:textId="2D1F7556" w:rsidR="0010364F" w:rsidRDefault="008A33A4" w:rsidP="0010364F">
      <w:pPr>
        <w:pStyle w:val="a3"/>
        <w:numPr>
          <w:ilvl w:val="1"/>
          <w:numId w:val="19"/>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Pr>
          <w:rFonts w:ascii="Times New Roman" w:hAnsi="Times New Roman"/>
          <w:sz w:val="28"/>
          <w:szCs w:val="28"/>
        </w:rPr>
        <w:t>В графе</w:t>
      </w:r>
      <w:r w:rsidR="0010364F">
        <w:rPr>
          <w:rFonts w:ascii="Times New Roman" w:hAnsi="Times New Roman"/>
          <w:sz w:val="28"/>
          <w:szCs w:val="28"/>
        </w:rPr>
        <w:t xml:space="preserve"> «</w:t>
      </w:r>
      <w:r w:rsidR="0010364F" w:rsidRPr="0010364F">
        <w:rPr>
          <w:rFonts w:ascii="Times New Roman" w:hAnsi="Times New Roman"/>
          <w:sz w:val="28"/>
          <w:szCs w:val="28"/>
        </w:rPr>
        <w:t>Полное фирменное наименование кредитной организации</w:t>
      </w:r>
      <w:r w:rsidR="0010364F">
        <w:rPr>
          <w:rFonts w:ascii="Times New Roman" w:hAnsi="Times New Roman"/>
          <w:sz w:val="28"/>
          <w:szCs w:val="28"/>
        </w:rPr>
        <w:t xml:space="preserve">» </w:t>
      </w:r>
      <w:r w:rsidR="00E53B72">
        <w:rPr>
          <w:rFonts w:ascii="Times New Roman" w:hAnsi="Times New Roman"/>
          <w:sz w:val="28"/>
          <w:szCs w:val="28"/>
        </w:rPr>
        <w:t xml:space="preserve">сопроводительной информации </w:t>
      </w:r>
      <w:r w:rsidR="0010364F">
        <w:rPr>
          <w:rFonts w:ascii="Times New Roman" w:hAnsi="Times New Roman"/>
          <w:sz w:val="28"/>
          <w:szCs w:val="28"/>
        </w:rPr>
        <w:t xml:space="preserve">указывается </w:t>
      </w:r>
      <w:r w:rsidR="0010364F" w:rsidRPr="0010364F">
        <w:rPr>
          <w:rFonts w:ascii="Times New Roman" w:hAnsi="Times New Roman"/>
          <w:sz w:val="28"/>
          <w:szCs w:val="28"/>
        </w:rPr>
        <w:t xml:space="preserve">полное </w:t>
      </w:r>
      <w:r w:rsidR="0010364F">
        <w:rPr>
          <w:rFonts w:ascii="Times New Roman" w:hAnsi="Times New Roman"/>
          <w:sz w:val="28"/>
          <w:szCs w:val="28"/>
        </w:rPr>
        <w:t>фирменно</w:t>
      </w:r>
      <w:r w:rsidR="0010364F" w:rsidRPr="0010364F">
        <w:rPr>
          <w:rFonts w:ascii="Times New Roman" w:hAnsi="Times New Roman"/>
          <w:sz w:val="28"/>
          <w:szCs w:val="28"/>
        </w:rPr>
        <w:t>е наименовани</w:t>
      </w:r>
      <w:r w:rsidR="0010364F">
        <w:rPr>
          <w:rFonts w:ascii="Times New Roman" w:hAnsi="Times New Roman"/>
          <w:sz w:val="28"/>
          <w:szCs w:val="28"/>
        </w:rPr>
        <w:t>е</w:t>
      </w:r>
      <w:r w:rsidR="0010364F" w:rsidRPr="0010364F">
        <w:rPr>
          <w:rFonts w:ascii="Times New Roman" w:hAnsi="Times New Roman"/>
          <w:sz w:val="28"/>
          <w:szCs w:val="28"/>
        </w:rPr>
        <w:t xml:space="preserve"> </w:t>
      </w:r>
      <w:r w:rsidR="0010364F">
        <w:rPr>
          <w:rFonts w:ascii="Times New Roman" w:hAnsi="Times New Roman"/>
          <w:sz w:val="28"/>
          <w:szCs w:val="28"/>
        </w:rPr>
        <w:t>кредитной организации - брокера</w:t>
      </w:r>
      <w:r w:rsidR="0010364F" w:rsidRPr="0010364F">
        <w:rPr>
          <w:rFonts w:ascii="Times New Roman" w:hAnsi="Times New Roman"/>
          <w:sz w:val="28"/>
          <w:szCs w:val="28"/>
        </w:rPr>
        <w:t xml:space="preserve"> в соответствии с учредительными документами.</w:t>
      </w:r>
    </w:p>
    <w:p w14:paraId="4D89074C" w14:textId="16E47638" w:rsidR="0010364F" w:rsidRDefault="008A33A4" w:rsidP="0010364F">
      <w:pPr>
        <w:pStyle w:val="a3"/>
        <w:numPr>
          <w:ilvl w:val="1"/>
          <w:numId w:val="19"/>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Pr>
          <w:rFonts w:ascii="Times New Roman" w:hAnsi="Times New Roman"/>
          <w:sz w:val="28"/>
          <w:szCs w:val="28"/>
        </w:rPr>
        <w:t>В графе</w:t>
      </w:r>
      <w:r w:rsidR="0010364F">
        <w:rPr>
          <w:rFonts w:ascii="Times New Roman" w:hAnsi="Times New Roman"/>
          <w:sz w:val="28"/>
          <w:szCs w:val="28"/>
        </w:rPr>
        <w:t xml:space="preserve"> «</w:t>
      </w:r>
      <w:r w:rsidR="0010364F" w:rsidRPr="0010364F">
        <w:rPr>
          <w:rFonts w:ascii="Times New Roman" w:hAnsi="Times New Roman"/>
          <w:sz w:val="28"/>
          <w:szCs w:val="28"/>
        </w:rPr>
        <w:t>Адрес кредитной организации в пределах места нахождения кредитной организации</w:t>
      </w:r>
      <w:r w:rsidR="0010364F">
        <w:rPr>
          <w:rFonts w:ascii="Times New Roman" w:hAnsi="Times New Roman"/>
          <w:sz w:val="28"/>
          <w:szCs w:val="28"/>
        </w:rPr>
        <w:t xml:space="preserve">» </w:t>
      </w:r>
      <w:r w:rsidR="00E53B72">
        <w:rPr>
          <w:rFonts w:ascii="Times New Roman" w:hAnsi="Times New Roman"/>
          <w:sz w:val="28"/>
          <w:szCs w:val="28"/>
        </w:rPr>
        <w:t xml:space="preserve">сопроводительной информации </w:t>
      </w:r>
      <w:r w:rsidR="0010364F">
        <w:rPr>
          <w:rFonts w:ascii="Times New Roman" w:hAnsi="Times New Roman"/>
          <w:sz w:val="28"/>
          <w:szCs w:val="28"/>
        </w:rPr>
        <w:t xml:space="preserve">указывается адрес </w:t>
      </w:r>
      <w:r w:rsidR="0010364F" w:rsidRPr="0010364F">
        <w:rPr>
          <w:rFonts w:ascii="Times New Roman" w:hAnsi="Times New Roman"/>
          <w:sz w:val="28"/>
          <w:szCs w:val="28"/>
        </w:rPr>
        <w:t>кредитной организации</w:t>
      </w:r>
      <w:r w:rsidR="0010364F">
        <w:rPr>
          <w:rFonts w:ascii="Times New Roman" w:hAnsi="Times New Roman"/>
          <w:sz w:val="28"/>
          <w:szCs w:val="28"/>
        </w:rPr>
        <w:t xml:space="preserve"> – брокера </w:t>
      </w:r>
      <w:r w:rsidR="0010364F" w:rsidRPr="0010364F">
        <w:rPr>
          <w:rFonts w:ascii="Times New Roman" w:hAnsi="Times New Roman"/>
          <w:sz w:val="28"/>
          <w:szCs w:val="28"/>
        </w:rPr>
        <w:t>в пределах места нахождения кредитной организации</w:t>
      </w:r>
      <w:r w:rsidR="0010364F">
        <w:rPr>
          <w:rFonts w:ascii="Times New Roman" w:hAnsi="Times New Roman"/>
          <w:sz w:val="28"/>
          <w:szCs w:val="28"/>
        </w:rPr>
        <w:t xml:space="preserve"> - брокера.</w:t>
      </w:r>
    </w:p>
    <w:p w14:paraId="0979A572" w14:textId="30B1701A" w:rsidR="00112945" w:rsidRDefault="008A33A4" w:rsidP="00112945">
      <w:pPr>
        <w:pStyle w:val="a3"/>
        <w:numPr>
          <w:ilvl w:val="1"/>
          <w:numId w:val="19"/>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Pr>
          <w:rFonts w:ascii="Times New Roman" w:hAnsi="Times New Roman"/>
          <w:sz w:val="28"/>
          <w:szCs w:val="28"/>
        </w:rPr>
        <w:t>В графе</w:t>
      </w:r>
      <w:r w:rsidR="00112945">
        <w:rPr>
          <w:rFonts w:ascii="Times New Roman" w:hAnsi="Times New Roman"/>
          <w:sz w:val="28"/>
          <w:szCs w:val="28"/>
        </w:rPr>
        <w:t xml:space="preserve"> «</w:t>
      </w:r>
      <w:r w:rsidR="00112945" w:rsidRPr="00112945">
        <w:rPr>
          <w:rFonts w:ascii="Times New Roman" w:hAnsi="Times New Roman"/>
          <w:sz w:val="28"/>
          <w:szCs w:val="28"/>
        </w:rPr>
        <w:t>Признак Отчета с нулевыми показателями</w:t>
      </w:r>
      <w:r w:rsidR="00112945">
        <w:rPr>
          <w:rFonts w:ascii="Times New Roman" w:hAnsi="Times New Roman"/>
          <w:sz w:val="28"/>
          <w:szCs w:val="28"/>
        </w:rPr>
        <w:t xml:space="preserve">» </w:t>
      </w:r>
      <w:r w:rsidR="00E53B72">
        <w:rPr>
          <w:rFonts w:ascii="Times New Roman" w:hAnsi="Times New Roman"/>
          <w:sz w:val="28"/>
          <w:szCs w:val="28"/>
        </w:rPr>
        <w:t>сопроводительной информации</w:t>
      </w:r>
      <w:r w:rsidR="00E53B72" w:rsidRPr="00112945">
        <w:rPr>
          <w:rFonts w:ascii="Times New Roman" w:hAnsi="Times New Roman"/>
          <w:sz w:val="28"/>
          <w:szCs w:val="28"/>
        </w:rPr>
        <w:t xml:space="preserve"> </w:t>
      </w:r>
      <w:r w:rsidR="00E53B72">
        <w:rPr>
          <w:rFonts w:ascii="Times New Roman" w:hAnsi="Times New Roman"/>
          <w:sz w:val="28"/>
          <w:szCs w:val="28"/>
        </w:rPr>
        <w:t>указывается</w:t>
      </w:r>
      <w:r w:rsidR="00112945" w:rsidRPr="00112945">
        <w:rPr>
          <w:rFonts w:ascii="Times New Roman" w:hAnsi="Times New Roman"/>
          <w:sz w:val="28"/>
          <w:szCs w:val="28"/>
        </w:rPr>
        <w:t xml:space="preserve"> «0» (ноль)</w:t>
      </w:r>
      <w:r w:rsidR="00112945">
        <w:rPr>
          <w:rFonts w:ascii="Times New Roman" w:hAnsi="Times New Roman"/>
          <w:sz w:val="28"/>
          <w:szCs w:val="28"/>
        </w:rPr>
        <w:t xml:space="preserve"> в</w:t>
      </w:r>
      <w:r w:rsidR="00112945" w:rsidRPr="00112945">
        <w:rPr>
          <w:rFonts w:ascii="Times New Roman" w:hAnsi="Times New Roman"/>
          <w:sz w:val="28"/>
          <w:szCs w:val="28"/>
        </w:rPr>
        <w:t xml:space="preserve"> случае отсутствия </w:t>
      </w:r>
      <w:r w:rsidR="00112945" w:rsidRPr="00112945">
        <w:rPr>
          <w:rFonts w:ascii="Times New Roman" w:hAnsi="Times New Roman"/>
          <w:sz w:val="28"/>
          <w:szCs w:val="28"/>
        </w:rPr>
        <w:lastRenderedPageBreak/>
        <w:t>данных по всем показателям Отчета. При этом разделы 1–5 Отчета кредитной организацией – брокером не заполняются.</w:t>
      </w:r>
    </w:p>
    <w:p w14:paraId="3C46C459" w14:textId="2E31E9FF" w:rsidR="00112945" w:rsidRDefault="008A33A4" w:rsidP="00E53B72">
      <w:pPr>
        <w:pStyle w:val="a3"/>
        <w:numPr>
          <w:ilvl w:val="1"/>
          <w:numId w:val="19"/>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Pr>
          <w:rFonts w:ascii="Times New Roman" w:hAnsi="Times New Roman"/>
          <w:sz w:val="28"/>
          <w:szCs w:val="28"/>
        </w:rPr>
        <w:t xml:space="preserve">В графе </w:t>
      </w:r>
      <w:r w:rsidR="00E53B72">
        <w:rPr>
          <w:rFonts w:ascii="Times New Roman" w:hAnsi="Times New Roman"/>
          <w:sz w:val="28"/>
          <w:szCs w:val="28"/>
        </w:rPr>
        <w:t>«</w:t>
      </w:r>
      <w:r w:rsidR="00E53B72" w:rsidRPr="00E53B72">
        <w:rPr>
          <w:rFonts w:ascii="Times New Roman" w:hAnsi="Times New Roman"/>
          <w:sz w:val="28"/>
          <w:szCs w:val="28"/>
        </w:rPr>
        <w:t>Фамилия, имя, отчество (при наличии) должностного лица, уполномоченного подписывать отчет</w:t>
      </w:r>
      <w:r w:rsidR="00E53B72">
        <w:rPr>
          <w:rFonts w:ascii="Times New Roman" w:hAnsi="Times New Roman"/>
          <w:sz w:val="28"/>
          <w:szCs w:val="28"/>
        </w:rPr>
        <w:t>» сопроводительной информации</w:t>
      </w:r>
      <w:r w:rsidR="00E53B72" w:rsidRPr="00E53B72">
        <w:rPr>
          <w:rFonts w:ascii="Times New Roman" w:hAnsi="Times New Roman"/>
          <w:sz w:val="28"/>
          <w:szCs w:val="28"/>
        </w:rPr>
        <w:t xml:space="preserve"> указываются фамилия, имя, отчество (при наличии) </w:t>
      </w:r>
      <w:r w:rsidR="00E53B72">
        <w:rPr>
          <w:rFonts w:ascii="Times New Roman" w:hAnsi="Times New Roman"/>
          <w:sz w:val="28"/>
          <w:szCs w:val="28"/>
        </w:rPr>
        <w:t xml:space="preserve">должностного </w:t>
      </w:r>
      <w:r w:rsidR="00E53B72" w:rsidRPr="00E53B72">
        <w:rPr>
          <w:rFonts w:ascii="Times New Roman" w:hAnsi="Times New Roman"/>
          <w:sz w:val="28"/>
          <w:szCs w:val="28"/>
        </w:rPr>
        <w:t>лица,</w:t>
      </w:r>
      <w:r w:rsidR="00E53B72">
        <w:rPr>
          <w:rFonts w:ascii="Times New Roman" w:hAnsi="Times New Roman"/>
          <w:sz w:val="28"/>
          <w:szCs w:val="28"/>
        </w:rPr>
        <w:t xml:space="preserve"> </w:t>
      </w:r>
      <w:r w:rsidR="00E53B72" w:rsidRPr="00E53B72">
        <w:rPr>
          <w:rFonts w:ascii="Times New Roman" w:hAnsi="Times New Roman"/>
          <w:sz w:val="28"/>
          <w:szCs w:val="28"/>
        </w:rPr>
        <w:t xml:space="preserve">уполномоченного подписывать </w:t>
      </w:r>
      <w:r w:rsidR="00E53B72">
        <w:rPr>
          <w:rFonts w:ascii="Times New Roman" w:hAnsi="Times New Roman"/>
          <w:sz w:val="28"/>
          <w:szCs w:val="28"/>
        </w:rPr>
        <w:t>О</w:t>
      </w:r>
      <w:r w:rsidR="00E53B72" w:rsidRPr="00E53B72">
        <w:rPr>
          <w:rFonts w:ascii="Times New Roman" w:hAnsi="Times New Roman"/>
          <w:sz w:val="28"/>
          <w:szCs w:val="28"/>
        </w:rPr>
        <w:t>тчет</w:t>
      </w:r>
      <w:r w:rsidR="00E53B72">
        <w:rPr>
          <w:rFonts w:ascii="Times New Roman" w:hAnsi="Times New Roman"/>
          <w:sz w:val="28"/>
          <w:szCs w:val="28"/>
        </w:rPr>
        <w:t>.</w:t>
      </w:r>
    </w:p>
    <w:p w14:paraId="0AB29CE6" w14:textId="4C6BD054" w:rsidR="00E53B72" w:rsidRDefault="008A33A4" w:rsidP="00313F04">
      <w:pPr>
        <w:pStyle w:val="a3"/>
        <w:numPr>
          <w:ilvl w:val="1"/>
          <w:numId w:val="19"/>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Pr>
          <w:rFonts w:ascii="Times New Roman" w:hAnsi="Times New Roman"/>
          <w:sz w:val="28"/>
          <w:szCs w:val="28"/>
        </w:rPr>
        <w:t>В графах</w:t>
      </w:r>
      <w:r>
        <w:rPr>
          <w:rFonts w:ascii="Times New Roman" w:hAnsi="Times New Roman"/>
          <w:sz w:val="28"/>
          <w:szCs w:val="28"/>
        </w:rPr>
        <w:t xml:space="preserve"> </w:t>
      </w:r>
      <w:r w:rsidR="00E53B72">
        <w:rPr>
          <w:rFonts w:ascii="Times New Roman" w:hAnsi="Times New Roman"/>
          <w:sz w:val="28"/>
          <w:szCs w:val="28"/>
        </w:rPr>
        <w:t>«</w:t>
      </w:r>
      <w:r w:rsidR="00E53B72" w:rsidRPr="00E53B72">
        <w:rPr>
          <w:rFonts w:ascii="Times New Roman" w:hAnsi="Times New Roman"/>
          <w:sz w:val="28"/>
          <w:szCs w:val="28"/>
        </w:rPr>
        <w:t>Фамилия, имя, отчество (при наличии) исполнителя</w:t>
      </w:r>
      <w:r w:rsidR="00E53B72">
        <w:rPr>
          <w:rFonts w:ascii="Times New Roman" w:hAnsi="Times New Roman"/>
          <w:sz w:val="28"/>
          <w:szCs w:val="28"/>
        </w:rPr>
        <w:t>»</w:t>
      </w:r>
      <w:r w:rsidR="00313F04">
        <w:rPr>
          <w:rFonts w:ascii="Times New Roman" w:hAnsi="Times New Roman"/>
          <w:sz w:val="28"/>
          <w:szCs w:val="28"/>
        </w:rPr>
        <w:t xml:space="preserve"> и «</w:t>
      </w:r>
      <w:r w:rsidR="00313F04" w:rsidRPr="00313F04">
        <w:rPr>
          <w:rFonts w:ascii="Times New Roman" w:hAnsi="Times New Roman"/>
          <w:sz w:val="28"/>
          <w:szCs w:val="28"/>
        </w:rPr>
        <w:t>Телефон исполнителя</w:t>
      </w:r>
      <w:r w:rsidR="00313F04">
        <w:rPr>
          <w:rFonts w:ascii="Times New Roman" w:hAnsi="Times New Roman"/>
          <w:sz w:val="28"/>
          <w:szCs w:val="28"/>
        </w:rPr>
        <w:t xml:space="preserve">» </w:t>
      </w:r>
      <w:r w:rsidR="00E53B72">
        <w:rPr>
          <w:rFonts w:ascii="Times New Roman" w:hAnsi="Times New Roman"/>
          <w:sz w:val="28"/>
          <w:szCs w:val="28"/>
        </w:rPr>
        <w:t>сопроводительной информации</w:t>
      </w:r>
      <w:r w:rsidR="00313F04">
        <w:rPr>
          <w:rFonts w:ascii="Times New Roman" w:hAnsi="Times New Roman"/>
          <w:sz w:val="28"/>
          <w:szCs w:val="28"/>
        </w:rPr>
        <w:t xml:space="preserve"> </w:t>
      </w:r>
      <w:r w:rsidR="00313F04" w:rsidRPr="00E53B72">
        <w:rPr>
          <w:rFonts w:ascii="Times New Roman" w:hAnsi="Times New Roman"/>
          <w:sz w:val="28"/>
          <w:szCs w:val="28"/>
        </w:rPr>
        <w:t xml:space="preserve">указываются </w:t>
      </w:r>
      <w:r w:rsidR="00313F04">
        <w:rPr>
          <w:rFonts w:ascii="Times New Roman" w:hAnsi="Times New Roman"/>
          <w:sz w:val="28"/>
          <w:szCs w:val="28"/>
        </w:rPr>
        <w:t xml:space="preserve">соответственно </w:t>
      </w:r>
      <w:r w:rsidR="00313F04" w:rsidRPr="00E53B72">
        <w:rPr>
          <w:rFonts w:ascii="Times New Roman" w:hAnsi="Times New Roman"/>
          <w:sz w:val="28"/>
          <w:szCs w:val="28"/>
        </w:rPr>
        <w:t>фамилия, имя, отчество (при наличии)</w:t>
      </w:r>
      <w:r w:rsidR="00313F04">
        <w:rPr>
          <w:rFonts w:ascii="Times New Roman" w:hAnsi="Times New Roman"/>
          <w:sz w:val="28"/>
          <w:szCs w:val="28"/>
        </w:rPr>
        <w:t xml:space="preserve"> и номер телефона исполнителя.</w:t>
      </w:r>
      <w:r w:rsidR="00A56A8E">
        <w:rPr>
          <w:rFonts w:ascii="Times New Roman" w:hAnsi="Times New Roman"/>
          <w:sz w:val="28"/>
          <w:szCs w:val="28"/>
        </w:rPr>
        <w:t xml:space="preserve"> Информация по показателям </w:t>
      </w:r>
      <w:r w:rsidR="00A56A8E" w:rsidRPr="00A56A8E">
        <w:rPr>
          <w:rFonts w:ascii="Times New Roman" w:hAnsi="Times New Roman"/>
          <w:sz w:val="28"/>
          <w:szCs w:val="28"/>
        </w:rPr>
        <w:t>отражается в том числе в случае, когда показатель «Признак</w:t>
      </w:r>
      <w:r w:rsidR="00A56A8E">
        <w:rPr>
          <w:rFonts w:ascii="Times New Roman" w:hAnsi="Times New Roman"/>
          <w:sz w:val="28"/>
          <w:szCs w:val="28"/>
        </w:rPr>
        <w:t xml:space="preserve"> </w:t>
      </w:r>
      <w:r w:rsidR="00A56A8E" w:rsidRPr="00112945">
        <w:rPr>
          <w:rFonts w:ascii="Times New Roman" w:hAnsi="Times New Roman"/>
          <w:sz w:val="28"/>
          <w:szCs w:val="28"/>
        </w:rPr>
        <w:t>Отчета с нулевыми показателями</w:t>
      </w:r>
      <w:r w:rsidR="00A56A8E" w:rsidRPr="00A56A8E">
        <w:rPr>
          <w:rFonts w:ascii="Times New Roman" w:hAnsi="Times New Roman"/>
          <w:sz w:val="28"/>
          <w:szCs w:val="28"/>
        </w:rPr>
        <w:t>» имеет значение</w:t>
      </w:r>
      <w:r w:rsidR="00A56A8E">
        <w:rPr>
          <w:rFonts w:ascii="Times New Roman" w:hAnsi="Times New Roman"/>
          <w:sz w:val="28"/>
          <w:szCs w:val="28"/>
        </w:rPr>
        <w:t xml:space="preserve"> </w:t>
      </w:r>
      <w:r w:rsidR="00A56A8E" w:rsidRPr="00112945">
        <w:rPr>
          <w:rFonts w:ascii="Times New Roman" w:hAnsi="Times New Roman"/>
          <w:sz w:val="28"/>
          <w:szCs w:val="28"/>
        </w:rPr>
        <w:t>«0» (ноль)</w:t>
      </w:r>
      <w:r w:rsidR="00A56A8E">
        <w:rPr>
          <w:rFonts w:ascii="Times New Roman" w:hAnsi="Times New Roman"/>
          <w:sz w:val="28"/>
          <w:szCs w:val="28"/>
        </w:rPr>
        <w:t>.</w:t>
      </w:r>
    </w:p>
    <w:p w14:paraId="03F49407" w14:textId="46DBFF25" w:rsidR="00313F04" w:rsidRDefault="008A33A4" w:rsidP="00313F04">
      <w:pPr>
        <w:pStyle w:val="a3"/>
        <w:numPr>
          <w:ilvl w:val="1"/>
          <w:numId w:val="19"/>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Pr>
          <w:rFonts w:ascii="Times New Roman" w:hAnsi="Times New Roman"/>
          <w:sz w:val="28"/>
          <w:szCs w:val="28"/>
        </w:rPr>
        <w:t xml:space="preserve">В графе </w:t>
      </w:r>
      <w:r w:rsidR="00313F04" w:rsidRPr="00313F04">
        <w:rPr>
          <w:rFonts w:ascii="Times New Roman" w:hAnsi="Times New Roman"/>
          <w:sz w:val="28"/>
          <w:szCs w:val="28"/>
        </w:rPr>
        <w:t>«Дата подписания отчетности</w:t>
      </w:r>
      <w:r w:rsidR="00313F04">
        <w:rPr>
          <w:rFonts w:ascii="Times New Roman" w:hAnsi="Times New Roman"/>
          <w:sz w:val="28"/>
          <w:szCs w:val="28"/>
        </w:rPr>
        <w:t>»</w:t>
      </w:r>
      <w:r w:rsidR="00313F04" w:rsidRPr="00313F04">
        <w:rPr>
          <w:rFonts w:ascii="Times New Roman" w:hAnsi="Times New Roman"/>
          <w:sz w:val="28"/>
          <w:szCs w:val="28"/>
        </w:rPr>
        <w:t xml:space="preserve"> </w:t>
      </w:r>
      <w:r w:rsidR="00313F04">
        <w:rPr>
          <w:rFonts w:ascii="Times New Roman" w:hAnsi="Times New Roman"/>
          <w:sz w:val="28"/>
          <w:szCs w:val="28"/>
        </w:rPr>
        <w:t>сопроводительной информации</w:t>
      </w:r>
      <w:r w:rsidR="00313F04" w:rsidRPr="00112945">
        <w:rPr>
          <w:rFonts w:ascii="Times New Roman" w:hAnsi="Times New Roman"/>
          <w:sz w:val="28"/>
          <w:szCs w:val="28"/>
        </w:rPr>
        <w:t xml:space="preserve"> </w:t>
      </w:r>
      <w:r w:rsidR="00313F04">
        <w:rPr>
          <w:rFonts w:ascii="Times New Roman" w:hAnsi="Times New Roman"/>
          <w:sz w:val="28"/>
          <w:szCs w:val="28"/>
        </w:rPr>
        <w:t xml:space="preserve">указывается дата подписания </w:t>
      </w:r>
      <w:r w:rsidR="004E5130">
        <w:rPr>
          <w:rFonts w:ascii="Times New Roman" w:hAnsi="Times New Roman"/>
          <w:sz w:val="28"/>
          <w:szCs w:val="28"/>
        </w:rPr>
        <w:t>Отчета</w:t>
      </w:r>
      <w:r w:rsidR="00313F04">
        <w:rPr>
          <w:rFonts w:ascii="Times New Roman" w:hAnsi="Times New Roman"/>
          <w:sz w:val="28"/>
          <w:szCs w:val="28"/>
        </w:rPr>
        <w:t>.</w:t>
      </w:r>
    </w:p>
    <w:p w14:paraId="29BA2BED" w14:textId="64A18734" w:rsidR="004E5130" w:rsidRPr="008920D3" w:rsidRDefault="008A33A4" w:rsidP="00997256">
      <w:pPr>
        <w:pStyle w:val="a3"/>
        <w:numPr>
          <w:ilvl w:val="1"/>
          <w:numId w:val="19"/>
        </w:numPr>
        <w:tabs>
          <w:tab w:val="left" w:pos="851"/>
          <w:tab w:val="left" w:pos="993"/>
        </w:tabs>
        <w:autoSpaceDE w:val="0"/>
        <w:autoSpaceDN w:val="0"/>
        <w:adjustRightInd w:val="0"/>
        <w:spacing w:after="0" w:line="360" w:lineRule="auto"/>
        <w:ind w:left="0" w:firstLine="709"/>
        <w:jc w:val="both"/>
        <w:outlineLvl w:val="0"/>
        <w:rPr>
          <w:rFonts w:ascii="Times New Roman" w:hAnsi="Times New Roman"/>
          <w:sz w:val="28"/>
          <w:szCs w:val="28"/>
        </w:rPr>
      </w:pPr>
      <w:r>
        <w:rPr>
          <w:rFonts w:ascii="Times New Roman" w:hAnsi="Times New Roman"/>
          <w:sz w:val="28"/>
          <w:szCs w:val="28"/>
        </w:rPr>
        <w:t xml:space="preserve">В графе </w:t>
      </w:r>
      <w:r w:rsidR="004E5130">
        <w:rPr>
          <w:rFonts w:ascii="Times New Roman" w:hAnsi="Times New Roman"/>
          <w:sz w:val="28"/>
          <w:szCs w:val="28"/>
        </w:rPr>
        <w:t>«Номер строки» разделов Отчета указывается порядковый номер строки.</w:t>
      </w:r>
    </w:p>
    <w:sectPr w:rsidR="004E5130" w:rsidRPr="008920D3" w:rsidSect="002C30AE">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22858B" w14:textId="77777777" w:rsidR="003A037D" w:rsidRDefault="003A037D" w:rsidP="00FC23FF">
      <w:pPr>
        <w:spacing w:after="0" w:line="240" w:lineRule="auto"/>
      </w:pPr>
      <w:r>
        <w:separator/>
      </w:r>
    </w:p>
  </w:endnote>
  <w:endnote w:type="continuationSeparator" w:id="0">
    <w:p w14:paraId="43BB2E5D" w14:textId="77777777" w:rsidR="003A037D" w:rsidRDefault="003A037D" w:rsidP="00FC23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4510442"/>
      <w:docPartObj>
        <w:docPartGallery w:val="Page Numbers (Bottom of Page)"/>
        <w:docPartUnique/>
      </w:docPartObj>
    </w:sdtPr>
    <w:sdtEndPr/>
    <w:sdtContent>
      <w:p w14:paraId="57C35EE5" w14:textId="3F0578DD" w:rsidR="00886B98" w:rsidRDefault="00886B98">
        <w:pPr>
          <w:pStyle w:val="a9"/>
          <w:jc w:val="right"/>
        </w:pPr>
        <w:r>
          <w:fldChar w:fldCharType="begin"/>
        </w:r>
        <w:r>
          <w:instrText>PAGE   \* MERGEFORMAT</w:instrText>
        </w:r>
        <w:r>
          <w:fldChar w:fldCharType="separate"/>
        </w:r>
        <w:r w:rsidR="002E31CC">
          <w:rPr>
            <w:noProof/>
          </w:rPr>
          <w:t>27</w:t>
        </w:r>
        <w:r>
          <w:fldChar w:fldCharType="end"/>
        </w:r>
      </w:p>
    </w:sdtContent>
  </w:sdt>
  <w:p w14:paraId="7D1C640F" w14:textId="77777777" w:rsidR="00886B98" w:rsidRDefault="00886B9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E34FEC" w14:textId="77777777" w:rsidR="003A037D" w:rsidRDefault="003A037D" w:rsidP="00FC23FF">
      <w:pPr>
        <w:spacing w:after="0" w:line="240" w:lineRule="auto"/>
      </w:pPr>
      <w:r>
        <w:separator/>
      </w:r>
    </w:p>
  </w:footnote>
  <w:footnote w:type="continuationSeparator" w:id="0">
    <w:p w14:paraId="37052FF8" w14:textId="77777777" w:rsidR="003A037D" w:rsidRDefault="003A037D" w:rsidP="00FC23FF">
      <w:pPr>
        <w:spacing w:after="0" w:line="240" w:lineRule="auto"/>
      </w:pPr>
      <w:r>
        <w:continuationSeparator/>
      </w:r>
    </w:p>
  </w:footnote>
  <w:footnote w:id="1">
    <w:p w14:paraId="5658A442" w14:textId="77777777" w:rsidR="00886B98" w:rsidRPr="006973F2" w:rsidRDefault="00886B98" w:rsidP="00FC23FF">
      <w:pPr>
        <w:pStyle w:val="a4"/>
      </w:pPr>
      <w:r w:rsidRPr="006973F2">
        <w:rPr>
          <w:rStyle w:val="a6"/>
        </w:rPr>
        <w:footnoteRef/>
      </w:r>
      <w:r w:rsidRPr="006973F2">
        <w:t xml:space="preserve"> Зарегистрировано Минюстом России 2 июля 2024 года, регистрационный № 78736.</w:t>
      </w:r>
    </w:p>
  </w:footnote>
  <w:footnote w:id="2">
    <w:p w14:paraId="21A25E1B" w14:textId="77777777" w:rsidR="00886B98" w:rsidRPr="006973F2" w:rsidRDefault="00886B98" w:rsidP="00103CE4">
      <w:pPr>
        <w:pStyle w:val="a4"/>
        <w:spacing w:line="235" w:lineRule="auto"/>
        <w:jc w:val="both"/>
      </w:pPr>
      <w:r w:rsidRPr="006973F2">
        <w:rPr>
          <w:rStyle w:val="a6"/>
        </w:rPr>
        <w:footnoteRef/>
      </w:r>
      <w:r w:rsidRPr="006973F2">
        <w:t xml:space="preserve"> Зарегистрировано Минюстом России 25 августа 2015 года, регистрационный № 38673, с изменениями, внесенными Указаниями Банка России от 4 июля 2016 года № 4061-У (зарегистрировано Минюстом России 29 июля 2016 года, регистрационный № 43030), от 20 сентября 2017 года № 4536-У (зарегистрировано Минюстом России 20 октября 2017 года, регистрационный № 48630), от 17 декабря 2018 года № 5013-У (зарегистрировано Минюстом России 22 января 2019 года, регистрационный № 53485), </w:t>
      </w:r>
      <w:r>
        <w:t xml:space="preserve">от 16 декабря </w:t>
      </w:r>
      <w:r w:rsidRPr="006973F2">
        <w:t>2020</w:t>
      </w:r>
      <w:r>
        <w:t> </w:t>
      </w:r>
      <w:r w:rsidRPr="006973F2">
        <w:t>года № 5666-У (зарегистрировано Минюстом России 26 января 2021 года, регистрационный № 62231).</w:t>
      </w:r>
    </w:p>
  </w:footnote>
  <w:footnote w:id="3">
    <w:p w14:paraId="6D00FB63" w14:textId="77777777" w:rsidR="00886B98" w:rsidRPr="006973F2" w:rsidRDefault="00886B98" w:rsidP="00C031B4">
      <w:pPr>
        <w:pStyle w:val="a4"/>
        <w:spacing w:line="235" w:lineRule="auto"/>
        <w:jc w:val="both"/>
      </w:pPr>
      <w:r w:rsidRPr="006973F2">
        <w:rPr>
          <w:rStyle w:val="a6"/>
        </w:rPr>
        <w:footnoteRef/>
      </w:r>
      <w:r w:rsidRPr="006973F2">
        <w:t xml:space="preserve"> Зарегистрировано Минюстом России 28 мая 2015 года, регистрационный № 37415, с изменениями, внесенными Указаниями Банка России от 17 сентября 2021 года № 5933-У (зарегистрировано Минюстом России 21 октября 2021 года, регистрационный № 65522), от 5 ноября 2024 </w:t>
      </w:r>
      <w:r>
        <w:t xml:space="preserve">года </w:t>
      </w:r>
      <w:r w:rsidRPr="006973F2">
        <w:t>№ 6926-У (зарегистрировано Минюстом России 24 января 2025</w:t>
      </w:r>
      <w:r>
        <w:t xml:space="preserve"> года</w:t>
      </w:r>
      <w:r w:rsidRPr="006973F2">
        <w:t>, регистрационный № 81024).</w:t>
      </w:r>
    </w:p>
  </w:footnote>
  <w:footnote w:id="4">
    <w:p w14:paraId="26605EC6" w14:textId="77777777" w:rsidR="00886B98" w:rsidRDefault="00886B98" w:rsidP="00334760">
      <w:pPr>
        <w:pStyle w:val="a4"/>
        <w:jc w:val="both"/>
      </w:pPr>
      <w:r w:rsidRPr="006973F2">
        <w:rPr>
          <w:rStyle w:val="a6"/>
        </w:rPr>
        <w:footnoteRef/>
      </w:r>
      <w:r w:rsidRPr="006973F2">
        <w:t xml:space="preserve"> Зарегистрировано Минюстом России 30 декабря 2014 года, регистрационный № 35494, с изменениями, внесенными Указаниями Банка России от 27 ноября 2017 года № 4622-У (зарегистрировано Минюстом России 16 февраля 2018 года, регистрационный № 50066), от 14 сентября 2020 года № 5550-У (зарегистрировано Минюстом России 16 октября 2020 года, регистрационный № 60426), от 17 мая 2022 года № 6140-У (зарегистрировано Минюстом России 25 августа 2022 года, регистрационный № 69784), </w:t>
      </w:r>
      <w:r>
        <w:br/>
      </w:r>
      <w:r w:rsidRPr="006973F2">
        <w:t>от 27</w:t>
      </w:r>
      <w:r>
        <w:t> </w:t>
      </w:r>
      <w:r w:rsidRPr="006973F2">
        <w:t>сентября 2023 года № 6544-У (зарегистрировано Минюстом России 3 ноября 2023 года, регистрационный № 75847), от 17 июня 2024 года № 6751-У (зарегистрировано Минюстом России 18 сентября 2024 года, регистрационный № 79504).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83A55"/>
    <w:multiLevelType w:val="multilevel"/>
    <w:tmpl w:val="70E0CA90"/>
    <w:lvl w:ilvl="0">
      <w:start w:val="1"/>
      <w:numFmt w:val="decimal"/>
      <w:lvlText w:val="%1."/>
      <w:lvlJc w:val="left"/>
      <w:pPr>
        <w:ind w:left="432" w:hanging="432"/>
      </w:pPr>
      <w:rPr>
        <w:rFonts w:eastAsia="Calibri" w:hint="default"/>
        <w:color w:val="000000" w:themeColor="text1"/>
      </w:rPr>
    </w:lvl>
    <w:lvl w:ilvl="1">
      <w:start w:val="1"/>
      <w:numFmt w:val="decimal"/>
      <w:lvlText w:val="%1.%2."/>
      <w:lvlJc w:val="left"/>
      <w:pPr>
        <w:ind w:left="1429" w:hanging="720"/>
      </w:pPr>
      <w:rPr>
        <w:rFonts w:eastAsia="Calibri" w:hint="default"/>
        <w:color w:val="000000" w:themeColor="text1"/>
      </w:rPr>
    </w:lvl>
    <w:lvl w:ilvl="2">
      <w:start w:val="1"/>
      <w:numFmt w:val="decimal"/>
      <w:lvlText w:val="%1.%2.%3."/>
      <w:lvlJc w:val="left"/>
      <w:pPr>
        <w:ind w:left="2138" w:hanging="720"/>
      </w:pPr>
      <w:rPr>
        <w:rFonts w:eastAsia="Calibri" w:hint="default"/>
        <w:color w:val="000000" w:themeColor="text1"/>
      </w:rPr>
    </w:lvl>
    <w:lvl w:ilvl="3">
      <w:start w:val="1"/>
      <w:numFmt w:val="decimal"/>
      <w:lvlText w:val="%1.%2.%3.%4."/>
      <w:lvlJc w:val="left"/>
      <w:pPr>
        <w:ind w:left="3207" w:hanging="1080"/>
      </w:pPr>
      <w:rPr>
        <w:rFonts w:eastAsia="Calibri" w:hint="default"/>
        <w:color w:val="000000" w:themeColor="text1"/>
      </w:rPr>
    </w:lvl>
    <w:lvl w:ilvl="4">
      <w:start w:val="1"/>
      <w:numFmt w:val="decimal"/>
      <w:lvlText w:val="%1.%2.%3.%4.%5."/>
      <w:lvlJc w:val="left"/>
      <w:pPr>
        <w:ind w:left="3916" w:hanging="1080"/>
      </w:pPr>
      <w:rPr>
        <w:rFonts w:eastAsia="Calibri" w:hint="default"/>
        <w:color w:val="000000" w:themeColor="text1"/>
      </w:rPr>
    </w:lvl>
    <w:lvl w:ilvl="5">
      <w:start w:val="1"/>
      <w:numFmt w:val="decimal"/>
      <w:lvlText w:val="%1.%2.%3.%4.%5.%6."/>
      <w:lvlJc w:val="left"/>
      <w:pPr>
        <w:ind w:left="4985" w:hanging="1440"/>
      </w:pPr>
      <w:rPr>
        <w:rFonts w:eastAsia="Calibri" w:hint="default"/>
        <w:color w:val="000000" w:themeColor="text1"/>
      </w:rPr>
    </w:lvl>
    <w:lvl w:ilvl="6">
      <w:start w:val="1"/>
      <w:numFmt w:val="decimal"/>
      <w:lvlText w:val="%1.%2.%3.%4.%5.%6.%7."/>
      <w:lvlJc w:val="left"/>
      <w:pPr>
        <w:ind w:left="6054" w:hanging="1800"/>
      </w:pPr>
      <w:rPr>
        <w:rFonts w:eastAsia="Calibri" w:hint="default"/>
        <w:color w:val="000000" w:themeColor="text1"/>
      </w:rPr>
    </w:lvl>
    <w:lvl w:ilvl="7">
      <w:start w:val="1"/>
      <w:numFmt w:val="decimal"/>
      <w:lvlText w:val="%1.%2.%3.%4.%5.%6.%7.%8."/>
      <w:lvlJc w:val="left"/>
      <w:pPr>
        <w:ind w:left="6763" w:hanging="1800"/>
      </w:pPr>
      <w:rPr>
        <w:rFonts w:eastAsia="Calibri" w:hint="default"/>
        <w:color w:val="000000" w:themeColor="text1"/>
      </w:rPr>
    </w:lvl>
    <w:lvl w:ilvl="8">
      <w:start w:val="1"/>
      <w:numFmt w:val="decimal"/>
      <w:lvlText w:val="%1.%2.%3.%4.%5.%6.%7.%8.%9."/>
      <w:lvlJc w:val="left"/>
      <w:pPr>
        <w:ind w:left="7832" w:hanging="2160"/>
      </w:pPr>
      <w:rPr>
        <w:rFonts w:eastAsia="Calibri" w:hint="default"/>
        <w:color w:val="000000" w:themeColor="text1"/>
      </w:rPr>
    </w:lvl>
  </w:abstractNum>
  <w:abstractNum w:abstractNumId="1" w15:restartNumberingAfterBreak="0">
    <w:nsid w:val="08431AD6"/>
    <w:multiLevelType w:val="multilevel"/>
    <w:tmpl w:val="70E0CA90"/>
    <w:lvl w:ilvl="0">
      <w:start w:val="1"/>
      <w:numFmt w:val="decimal"/>
      <w:lvlText w:val="%1."/>
      <w:lvlJc w:val="left"/>
      <w:pPr>
        <w:ind w:left="432" w:hanging="432"/>
      </w:pPr>
      <w:rPr>
        <w:rFonts w:eastAsia="Calibri" w:hint="default"/>
        <w:color w:val="000000" w:themeColor="text1"/>
      </w:rPr>
    </w:lvl>
    <w:lvl w:ilvl="1">
      <w:start w:val="1"/>
      <w:numFmt w:val="decimal"/>
      <w:lvlText w:val="%1.%2."/>
      <w:lvlJc w:val="left"/>
      <w:pPr>
        <w:ind w:left="1429" w:hanging="720"/>
      </w:pPr>
      <w:rPr>
        <w:rFonts w:eastAsia="Calibri" w:hint="default"/>
        <w:color w:val="000000" w:themeColor="text1"/>
      </w:rPr>
    </w:lvl>
    <w:lvl w:ilvl="2">
      <w:start w:val="1"/>
      <w:numFmt w:val="decimal"/>
      <w:lvlText w:val="%1.%2.%3."/>
      <w:lvlJc w:val="left"/>
      <w:pPr>
        <w:ind w:left="2138" w:hanging="720"/>
      </w:pPr>
      <w:rPr>
        <w:rFonts w:eastAsia="Calibri" w:hint="default"/>
        <w:color w:val="000000" w:themeColor="text1"/>
      </w:rPr>
    </w:lvl>
    <w:lvl w:ilvl="3">
      <w:start w:val="1"/>
      <w:numFmt w:val="decimal"/>
      <w:lvlText w:val="%1.%2.%3.%4."/>
      <w:lvlJc w:val="left"/>
      <w:pPr>
        <w:ind w:left="3207" w:hanging="1080"/>
      </w:pPr>
      <w:rPr>
        <w:rFonts w:eastAsia="Calibri" w:hint="default"/>
        <w:color w:val="000000" w:themeColor="text1"/>
      </w:rPr>
    </w:lvl>
    <w:lvl w:ilvl="4">
      <w:start w:val="1"/>
      <w:numFmt w:val="decimal"/>
      <w:lvlText w:val="%1.%2.%3.%4.%5."/>
      <w:lvlJc w:val="left"/>
      <w:pPr>
        <w:ind w:left="3916" w:hanging="1080"/>
      </w:pPr>
      <w:rPr>
        <w:rFonts w:eastAsia="Calibri" w:hint="default"/>
        <w:color w:val="000000" w:themeColor="text1"/>
      </w:rPr>
    </w:lvl>
    <w:lvl w:ilvl="5">
      <w:start w:val="1"/>
      <w:numFmt w:val="decimal"/>
      <w:lvlText w:val="%1.%2.%3.%4.%5.%6."/>
      <w:lvlJc w:val="left"/>
      <w:pPr>
        <w:ind w:left="4985" w:hanging="1440"/>
      </w:pPr>
      <w:rPr>
        <w:rFonts w:eastAsia="Calibri" w:hint="default"/>
        <w:color w:val="000000" w:themeColor="text1"/>
      </w:rPr>
    </w:lvl>
    <w:lvl w:ilvl="6">
      <w:start w:val="1"/>
      <w:numFmt w:val="decimal"/>
      <w:lvlText w:val="%1.%2.%3.%4.%5.%6.%7."/>
      <w:lvlJc w:val="left"/>
      <w:pPr>
        <w:ind w:left="6054" w:hanging="1800"/>
      </w:pPr>
      <w:rPr>
        <w:rFonts w:eastAsia="Calibri" w:hint="default"/>
        <w:color w:val="000000" w:themeColor="text1"/>
      </w:rPr>
    </w:lvl>
    <w:lvl w:ilvl="7">
      <w:start w:val="1"/>
      <w:numFmt w:val="decimal"/>
      <w:lvlText w:val="%1.%2.%3.%4.%5.%6.%7.%8."/>
      <w:lvlJc w:val="left"/>
      <w:pPr>
        <w:ind w:left="6763" w:hanging="1800"/>
      </w:pPr>
      <w:rPr>
        <w:rFonts w:eastAsia="Calibri" w:hint="default"/>
        <w:color w:val="000000" w:themeColor="text1"/>
      </w:rPr>
    </w:lvl>
    <w:lvl w:ilvl="8">
      <w:start w:val="1"/>
      <w:numFmt w:val="decimal"/>
      <w:lvlText w:val="%1.%2.%3.%4.%5.%6.%7.%8.%9."/>
      <w:lvlJc w:val="left"/>
      <w:pPr>
        <w:ind w:left="7832" w:hanging="2160"/>
      </w:pPr>
      <w:rPr>
        <w:rFonts w:eastAsia="Calibri" w:hint="default"/>
        <w:color w:val="000000" w:themeColor="text1"/>
      </w:rPr>
    </w:lvl>
  </w:abstractNum>
  <w:abstractNum w:abstractNumId="2" w15:restartNumberingAfterBreak="0">
    <w:nsid w:val="0ADA00EB"/>
    <w:multiLevelType w:val="multilevel"/>
    <w:tmpl w:val="D01C5D9C"/>
    <w:lvl w:ilvl="0">
      <w:start w:val="4"/>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3" w15:restartNumberingAfterBreak="0">
    <w:nsid w:val="0B4B5EF3"/>
    <w:multiLevelType w:val="multilevel"/>
    <w:tmpl w:val="D01C5D9C"/>
    <w:lvl w:ilvl="0">
      <w:start w:val="8"/>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4" w15:restartNumberingAfterBreak="0">
    <w:nsid w:val="0BC833FF"/>
    <w:multiLevelType w:val="multilevel"/>
    <w:tmpl w:val="F79CDB46"/>
    <w:lvl w:ilvl="0">
      <w:start w:val="3"/>
      <w:numFmt w:val="decimal"/>
      <w:lvlText w:val="%1."/>
      <w:lvlJc w:val="left"/>
      <w:pPr>
        <w:ind w:left="432" w:hanging="432"/>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0C7A5A14"/>
    <w:multiLevelType w:val="hybridMultilevel"/>
    <w:tmpl w:val="19E4B5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D3F5461"/>
    <w:multiLevelType w:val="hybridMultilevel"/>
    <w:tmpl w:val="BC602E1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9BF7345"/>
    <w:multiLevelType w:val="multilevel"/>
    <w:tmpl w:val="D01C5D9C"/>
    <w:lvl w:ilvl="0">
      <w:start w:val="4"/>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8" w15:restartNumberingAfterBreak="0">
    <w:nsid w:val="1D9764BA"/>
    <w:multiLevelType w:val="multilevel"/>
    <w:tmpl w:val="70E0CA90"/>
    <w:lvl w:ilvl="0">
      <w:start w:val="1"/>
      <w:numFmt w:val="decimal"/>
      <w:lvlText w:val="%1."/>
      <w:lvlJc w:val="left"/>
      <w:pPr>
        <w:ind w:left="432" w:hanging="432"/>
      </w:pPr>
      <w:rPr>
        <w:rFonts w:eastAsia="Calibri" w:hint="default"/>
        <w:color w:val="000000" w:themeColor="text1"/>
      </w:rPr>
    </w:lvl>
    <w:lvl w:ilvl="1">
      <w:start w:val="1"/>
      <w:numFmt w:val="decimal"/>
      <w:lvlText w:val="%1.%2."/>
      <w:lvlJc w:val="left"/>
      <w:pPr>
        <w:ind w:left="1429" w:hanging="720"/>
      </w:pPr>
      <w:rPr>
        <w:rFonts w:eastAsia="Calibri" w:hint="default"/>
        <w:color w:val="000000" w:themeColor="text1"/>
      </w:rPr>
    </w:lvl>
    <w:lvl w:ilvl="2">
      <w:start w:val="1"/>
      <w:numFmt w:val="decimal"/>
      <w:lvlText w:val="%1.%2.%3."/>
      <w:lvlJc w:val="left"/>
      <w:pPr>
        <w:ind w:left="2138" w:hanging="720"/>
      </w:pPr>
      <w:rPr>
        <w:rFonts w:eastAsia="Calibri" w:hint="default"/>
        <w:color w:val="000000" w:themeColor="text1"/>
      </w:rPr>
    </w:lvl>
    <w:lvl w:ilvl="3">
      <w:start w:val="1"/>
      <w:numFmt w:val="decimal"/>
      <w:lvlText w:val="%1.%2.%3.%4."/>
      <w:lvlJc w:val="left"/>
      <w:pPr>
        <w:ind w:left="3207" w:hanging="1080"/>
      </w:pPr>
      <w:rPr>
        <w:rFonts w:eastAsia="Calibri" w:hint="default"/>
        <w:color w:val="000000" w:themeColor="text1"/>
      </w:rPr>
    </w:lvl>
    <w:lvl w:ilvl="4">
      <w:start w:val="1"/>
      <w:numFmt w:val="decimal"/>
      <w:lvlText w:val="%1.%2.%3.%4.%5."/>
      <w:lvlJc w:val="left"/>
      <w:pPr>
        <w:ind w:left="3916" w:hanging="1080"/>
      </w:pPr>
      <w:rPr>
        <w:rFonts w:eastAsia="Calibri" w:hint="default"/>
        <w:color w:val="000000" w:themeColor="text1"/>
      </w:rPr>
    </w:lvl>
    <w:lvl w:ilvl="5">
      <w:start w:val="1"/>
      <w:numFmt w:val="decimal"/>
      <w:lvlText w:val="%1.%2.%3.%4.%5.%6."/>
      <w:lvlJc w:val="left"/>
      <w:pPr>
        <w:ind w:left="4985" w:hanging="1440"/>
      </w:pPr>
      <w:rPr>
        <w:rFonts w:eastAsia="Calibri" w:hint="default"/>
        <w:color w:val="000000" w:themeColor="text1"/>
      </w:rPr>
    </w:lvl>
    <w:lvl w:ilvl="6">
      <w:start w:val="1"/>
      <w:numFmt w:val="decimal"/>
      <w:lvlText w:val="%1.%2.%3.%4.%5.%6.%7."/>
      <w:lvlJc w:val="left"/>
      <w:pPr>
        <w:ind w:left="6054" w:hanging="1800"/>
      </w:pPr>
      <w:rPr>
        <w:rFonts w:eastAsia="Calibri" w:hint="default"/>
        <w:color w:val="000000" w:themeColor="text1"/>
      </w:rPr>
    </w:lvl>
    <w:lvl w:ilvl="7">
      <w:start w:val="1"/>
      <w:numFmt w:val="decimal"/>
      <w:lvlText w:val="%1.%2.%3.%4.%5.%6.%7.%8."/>
      <w:lvlJc w:val="left"/>
      <w:pPr>
        <w:ind w:left="6763" w:hanging="1800"/>
      </w:pPr>
      <w:rPr>
        <w:rFonts w:eastAsia="Calibri" w:hint="default"/>
        <w:color w:val="000000" w:themeColor="text1"/>
      </w:rPr>
    </w:lvl>
    <w:lvl w:ilvl="8">
      <w:start w:val="1"/>
      <w:numFmt w:val="decimal"/>
      <w:lvlText w:val="%1.%2.%3.%4.%5.%6.%7.%8.%9."/>
      <w:lvlJc w:val="left"/>
      <w:pPr>
        <w:ind w:left="7832" w:hanging="2160"/>
      </w:pPr>
      <w:rPr>
        <w:rFonts w:eastAsia="Calibri" w:hint="default"/>
        <w:color w:val="000000" w:themeColor="text1"/>
      </w:rPr>
    </w:lvl>
  </w:abstractNum>
  <w:abstractNum w:abstractNumId="9" w15:restartNumberingAfterBreak="0">
    <w:nsid w:val="1EC1198B"/>
    <w:multiLevelType w:val="hybridMultilevel"/>
    <w:tmpl w:val="2918D90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45C2326"/>
    <w:multiLevelType w:val="hybridMultilevel"/>
    <w:tmpl w:val="35B234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84A63EA"/>
    <w:multiLevelType w:val="hybridMultilevel"/>
    <w:tmpl w:val="C2BC5B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D0D5B0F"/>
    <w:multiLevelType w:val="hybridMultilevel"/>
    <w:tmpl w:val="11ECE1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3C23695"/>
    <w:multiLevelType w:val="hybridMultilevel"/>
    <w:tmpl w:val="61DA5F8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4C2207F7"/>
    <w:multiLevelType w:val="multilevel"/>
    <w:tmpl w:val="D01C5D9C"/>
    <w:lvl w:ilvl="0">
      <w:start w:val="5"/>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5" w15:restartNumberingAfterBreak="0">
    <w:nsid w:val="699F3F41"/>
    <w:multiLevelType w:val="multilevel"/>
    <w:tmpl w:val="D01C5D9C"/>
    <w:lvl w:ilvl="0">
      <w:start w:val="7"/>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6" w15:restartNumberingAfterBreak="0">
    <w:nsid w:val="6D5826D5"/>
    <w:multiLevelType w:val="multilevel"/>
    <w:tmpl w:val="F79CDB46"/>
    <w:lvl w:ilvl="0">
      <w:start w:val="2"/>
      <w:numFmt w:val="decimal"/>
      <w:lvlText w:val="%1."/>
      <w:lvlJc w:val="left"/>
      <w:pPr>
        <w:ind w:left="432" w:hanging="432"/>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15:restartNumberingAfterBreak="0">
    <w:nsid w:val="79200A20"/>
    <w:multiLevelType w:val="multilevel"/>
    <w:tmpl w:val="D01C5D9C"/>
    <w:lvl w:ilvl="0">
      <w:start w:val="6"/>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8" w15:restartNumberingAfterBreak="0">
    <w:nsid w:val="79743C33"/>
    <w:multiLevelType w:val="multilevel"/>
    <w:tmpl w:val="D01C5D9C"/>
    <w:lvl w:ilvl="0">
      <w:start w:val="5"/>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num w:numId="1">
    <w:abstractNumId w:val="1"/>
  </w:num>
  <w:num w:numId="2">
    <w:abstractNumId w:val="8"/>
  </w:num>
  <w:num w:numId="3">
    <w:abstractNumId w:val="0"/>
  </w:num>
  <w:num w:numId="4">
    <w:abstractNumId w:val="16"/>
  </w:num>
  <w:num w:numId="5">
    <w:abstractNumId w:val="5"/>
  </w:num>
  <w:num w:numId="6">
    <w:abstractNumId w:val="10"/>
  </w:num>
  <w:num w:numId="7">
    <w:abstractNumId w:val="11"/>
  </w:num>
  <w:num w:numId="8">
    <w:abstractNumId w:val="12"/>
  </w:num>
  <w:num w:numId="9">
    <w:abstractNumId w:val="4"/>
  </w:num>
  <w:num w:numId="10">
    <w:abstractNumId w:val="13"/>
  </w:num>
  <w:num w:numId="11">
    <w:abstractNumId w:val="7"/>
  </w:num>
  <w:num w:numId="12">
    <w:abstractNumId w:val="2"/>
  </w:num>
  <w:num w:numId="13">
    <w:abstractNumId w:val="14"/>
  </w:num>
  <w:num w:numId="14">
    <w:abstractNumId w:val="18"/>
  </w:num>
  <w:num w:numId="15">
    <w:abstractNumId w:val="17"/>
  </w:num>
  <w:num w:numId="16">
    <w:abstractNumId w:val="6"/>
  </w:num>
  <w:num w:numId="17">
    <w:abstractNumId w:val="15"/>
  </w:num>
  <w:num w:numId="18">
    <w:abstractNumId w:val="9"/>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7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33E"/>
    <w:rsid w:val="000749C9"/>
    <w:rsid w:val="00094B33"/>
    <w:rsid w:val="000B37B0"/>
    <w:rsid w:val="0010364F"/>
    <w:rsid w:val="00103CE4"/>
    <w:rsid w:val="00112945"/>
    <w:rsid w:val="00123D22"/>
    <w:rsid w:val="001265E1"/>
    <w:rsid w:val="001629FC"/>
    <w:rsid w:val="001730CB"/>
    <w:rsid w:val="00177950"/>
    <w:rsid w:val="0018354A"/>
    <w:rsid w:val="00194D2B"/>
    <w:rsid w:val="001A3C06"/>
    <w:rsid w:val="001B5590"/>
    <w:rsid w:val="00215B95"/>
    <w:rsid w:val="00223077"/>
    <w:rsid w:val="002A0C5D"/>
    <w:rsid w:val="002B24CF"/>
    <w:rsid w:val="002C30AE"/>
    <w:rsid w:val="002D7C0E"/>
    <w:rsid w:val="002E31CC"/>
    <w:rsid w:val="002F41A1"/>
    <w:rsid w:val="002F52A2"/>
    <w:rsid w:val="002F57FD"/>
    <w:rsid w:val="00303914"/>
    <w:rsid w:val="00312A0C"/>
    <w:rsid w:val="00313F04"/>
    <w:rsid w:val="00334760"/>
    <w:rsid w:val="00362F34"/>
    <w:rsid w:val="003A037D"/>
    <w:rsid w:val="00421400"/>
    <w:rsid w:val="00433CF8"/>
    <w:rsid w:val="00435AF9"/>
    <w:rsid w:val="00442C9B"/>
    <w:rsid w:val="00451496"/>
    <w:rsid w:val="0048762B"/>
    <w:rsid w:val="004A4308"/>
    <w:rsid w:val="004A44B8"/>
    <w:rsid w:val="004B14AB"/>
    <w:rsid w:val="004B5DBD"/>
    <w:rsid w:val="004E5130"/>
    <w:rsid w:val="00540D49"/>
    <w:rsid w:val="00572534"/>
    <w:rsid w:val="0058394F"/>
    <w:rsid w:val="005918F5"/>
    <w:rsid w:val="00592DE0"/>
    <w:rsid w:val="005A6242"/>
    <w:rsid w:val="005D6A03"/>
    <w:rsid w:val="005D79FF"/>
    <w:rsid w:val="005E07F9"/>
    <w:rsid w:val="005E6699"/>
    <w:rsid w:val="00600D3E"/>
    <w:rsid w:val="00600FEE"/>
    <w:rsid w:val="006C45F5"/>
    <w:rsid w:val="006D15F8"/>
    <w:rsid w:val="00737A6B"/>
    <w:rsid w:val="00770236"/>
    <w:rsid w:val="00781B3F"/>
    <w:rsid w:val="007A00BD"/>
    <w:rsid w:val="007A7CC1"/>
    <w:rsid w:val="007E1182"/>
    <w:rsid w:val="008020D0"/>
    <w:rsid w:val="00831395"/>
    <w:rsid w:val="00831D1D"/>
    <w:rsid w:val="00846814"/>
    <w:rsid w:val="00886B98"/>
    <w:rsid w:val="008920D3"/>
    <w:rsid w:val="00896677"/>
    <w:rsid w:val="00897A26"/>
    <w:rsid w:val="008A33A4"/>
    <w:rsid w:val="008C5B65"/>
    <w:rsid w:val="008C6E14"/>
    <w:rsid w:val="00916B26"/>
    <w:rsid w:val="009505A9"/>
    <w:rsid w:val="0097279C"/>
    <w:rsid w:val="009761BB"/>
    <w:rsid w:val="00997256"/>
    <w:rsid w:val="009B3A47"/>
    <w:rsid w:val="009F5983"/>
    <w:rsid w:val="00A56A8E"/>
    <w:rsid w:val="00A57A1C"/>
    <w:rsid w:val="00A57CD6"/>
    <w:rsid w:val="00A653C2"/>
    <w:rsid w:val="00A863E7"/>
    <w:rsid w:val="00AA2C5D"/>
    <w:rsid w:val="00B57FC1"/>
    <w:rsid w:val="00B8547E"/>
    <w:rsid w:val="00BB76F5"/>
    <w:rsid w:val="00C031B4"/>
    <w:rsid w:val="00C146FC"/>
    <w:rsid w:val="00C3215C"/>
    <w:rsid w:val="00C553F5"/>
    <w:rsid w:val="00C75697"/>
    <w:rsid w:val="00CF58AB"/>
    <w:rsid w:val="00D22C9E"/>
    <w:rsid w:val="00D56DB7"/>
    <w:rsid w:val="00DD0851"/>
    <w:rsid w:val="00E2245F"/>
    <w:rsid w:val="00E412C2"/>
    <w:rsid w:val="00E53B72"/>
    <w:rsid w:val="00EC04A6"/>
    <w:rsid w:val="00EE6636"/>
    <w:rsid w:val="00EF5E9F"/>
    <w:rsid w:val="00F110A0"/>
    <w:rsid w:val="00F2773D"/>
    <w:rsid w:val="00F60563"/>
    <w:rsid w:val="00F8733E"/>
    <w:rsid w:val="00F95E67"/>
    <w:rsid w:val="00FC23FF"/>
    <w:rsid w:val="00FF77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EB289"/>
  <w15:chartTrackingRefBased/>
  <w15:docId w15:val="{3C653D8C-242A-48CD-A990-B0E819E0A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0C5D"/>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46FC"/>
    <w:pPr>
      <w:ind w:left="720"/>
      <w:contextualSpacing/>
    </w:pPr>
  </w:style>
  <w:style w:type="paragraph" w:styleId="a4">
    <w:name w:val="footnote text"/>
    <w:aliases w:val="Footnote Text Char1,Footnote Text Char3 Char,Footnote Text Char2 Char Char,Footnote Text Char1 Char1 Char Char,ft Char1 Char Char Char,Footnote Text Char1 Char Char Char Char,Footnote Text Char Char1 Char Char Char Char,Table_Footnote_last"/>
    <w:basedOn w:val="a"/>
    <w:link w:val="a5"/>
    <w:unhideWhenUsed/>
    <w:qFormat/>
    <w:rsid w:val="00FC23FF"/>
    <w:pPr>
      <w:spacing w:after="0" w:line="240" w:lineRule="auto"/>
    </w:pPr>
    <w:rPr>
      <w:rFonts w:ascii="Times New Roman" w:hAnsi="Times New Roman"/>
      <w:sz w:val="20"/>
      <w:szCs w:val="20"/>
      <w:lang w:eastAsia="ru-RU"/>
    </w:rPr>
  </w:style>
  <w:style w:type="character" w:customStyle="1" w:styleId="a5">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Table_Footnote_last Знак"/>
    <w:basedOn w:val="a0"/>
    <w:link w:val="a4"/>
    <w:qFormat/>
    <w:rsid w:val="00FC23FF"/>
    <w:rPr>
      <w:rFonts w:ascii="Times New Roman" w:eastAsia="Times New Roman" w:hAnsi="Times New Roman" w:cs="Times New Roman"/>
      <w:sz w:val="20"/>
      <w:szCs w:val="20"/>
      <w:lang w:eastAsia="ru-RU"/>
    </w:rPr>
  </w:style>
  <w:style w:type="character" w:styleId="a6">
    <w:name w:val="footnote reference"/>
    <w:aliases w:val="fr,Used by Word for Help footnote symbols,Знак сноски-FN,Знак сноски 1,Ciae niinee-FN,Referencia nota al pie,ftref,сноска,Знак сноски Даша,вески,SUPERS,Знак сноски1,ХИА_ЗС,Текст сноски Знак2 Знак Знак1,Текст сноски Знак1 Знак Знак Знак1,ftre"/>
    <w:basedOn w:val="a0"/>
    <w:link w:val="CharChar1CharCharCharChar1CharCharCharCharCharCharCharChar"/>
    <w:unhideWhenUsed/>
    <w:qFormat/>
    <w:rsid w:val="00FC23FF"/>
    <w:rPr>
      <w:rFonts w:cs="Times New Roman"/>
      <w:vertAlign w:val="superscript"/>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a"/>
    <w:next w:val="a"/>
    <w:link w:val="a6"/>
    <w:rsid w:val="00FC23FF"/>
    <w:pPr>
      <w:spacing w:after="160" w:line="240" w:lineRule="exact"/>
      <w:jc w:val="both"/>
    </w:pPr>
    <w:rPr>
      <w:rFonts w:asciiTheme="minorHAnsi" w:eastAsiaTheme="minorHAnsi" w:hAnsiTheme="minorHAnsi"/>
      <w:vertAlign w:val="superscript"/>
    </w:rPr>
  </w:style>
  <w:style w:type="paragraph" w:styleId="a7">
    <w:name w:val="header"/>
    <w:basedOn w:val="a"/>
    <w:link w:val="a8"/>
    <w:uiPriority w:val="99"/>
    <w:unhideWhenUsed/>
    <w:rsid w:val="002C30A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C30AE"/>
    <w:rPr>
      <w:rFonts w:ascii="Calibri" w:eastAsia="Times New Roman" w:hAnsi="Calibri" w:cs="Times New Roman"/>
    </w:rPr>
  </w:style>
  <w:style w:type="paragraph" w:styleId="a9">
    <w:name w:val="footer"/>
    <w:basedOn w:val="a"/>
    <w:link w:val="aa"/>
    <w:uiPriority w:val="99"/>
    <w:unhideWhenUsed/>
    <w:rsid w:val="002C30A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C30AE"/>
    <w:rPr>
      <w:rFonts w:ascii="Calibri" w:eastAsia="Times New Roman" w:hAnsi="Calibri" w:cs="Times New Roman"/>
    </w:rPr>
  </w:style>
  <w:style w:type="character" w:styleId="ab">
    <w:name w:val="annotation reference"/>
    <w:basedOn w:val="a0"/>
    <w:uiPriority w:val="99"/>
    <w:semiHidden/>
    <w:unhideWhenUsed/>
    <w:rsid w:val="00103CE4"/>
    <w:rPr>
      <w:sz w:val="16"/>
      <w:szCs w:val="16"/>
    </w:rPr>
  </w:style>
  <w:style w:type="paragraph" w:styleId="ac">
    <w:name w:val="annotation text"/>
    <w:basedOn w:val="a"/>
    <w:link w:val="ad"/>
    <w:uiPriority w:val="99"/>
    <w:semiHidden/>
    <w:unhideWhenUsed/>
    <w:rsid w:val="00103CE4"/>
    <w:pPr>
      <w:spacing w:line="240" w:lineRule="auto"/>
    </w:pPr>
    <w:rPr>
      <w:sz w:val="20"/>
      <w:szCs w:val="20"/>
    </w:rPr>
  </w:style>
  <w:style w:type="character" w:customStyle="1" w:styleId="ad">
    <w:name w:val="Текст примечания Знак"/>
    <w:basedOn w:val="a0"/>
    <w:link w:val="ac"/>
    <w:uiPriority w:val="99"/>
    <w:semiHidden/>
    <w:rsid w:val="00103CE4"/>
    <w:rPr>
      <w:rFonts w:ascii="Calibri" w:eastAsia="Times New Roman" w:hAnsi="Calibri" w:cs="Times New Roman"/>
      <w:sz w:val="20"/>
      <w:szCs w:val="20"/>
    </w:rPr>
  </w:style>
  <w:style w:type="paragraph" w:styleId="ae">
    <w:name w:val="annotation subject"/>
    <w:basedOn w:val="ac"/>
    <w:next w:val="ac"/>
    <w:link w:val="af"/>
    <w:uiPriority w:val="99"/>
    <w:semiHidden/>
    <w:unhideWhenUsed/>
    <w:rsid w:val="00103CE4"/>
    <w:rPr>
      <w:b/>
      <w:bCs/>
    </w:rPr>
  </w:style>
  <w:style w:type="character" w:customStyle="1" w:styleId="af">
    <w:name w:val="Тема примечания Знак"/>
    <w:basedOn w:val="ad"/>
    <w:link w:val="ae"/>
    <w:uiPriority w:val="99"/>
    <w:semiHidden/>
    <w:rsid w:val="00103CE4"/>
    <w:rPr>
      <w:rFonts w:ascii="Calibri" w:eastAsia="Times New Roman" w:hAnsi="Calibri" w:cs="Times New Roman"/>
      <w:b/>
      <w:bCs/>
      <w:sz w:val="20"/>
      <w:szCs w:val="20"/>
    </w:rPr>
  </w:style>
  <w:style w:type="paragraph" w:styleId="af0">
    <w:name w:val="Balloon Text"/>
    <w:basedOn w:val="a"/>
    <w:link w:val="af1"/>
    <w:uiPriority w:val="99"/>
    <w:semiHidden/>
    <w:unhideWhenUsed/>
    <w:rsid w:val="00103CE4"/>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103CE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74066D-50B0-4166-BEBD-2AE901532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28</Pages>
  <Words>6566</Words>
  <Characters>37428</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Синегубова Ольга Леонидовна</dc:creator>
  <cp:keywords/>
  <dc:description/>
  <cp:lastModifiedBy>Чевычелова Ирина Сергеевна</cp:lastModifiedBy>
  <cp:revision>11</cp:revision>
  <dcterms:created xsi:type="dcterms:W3CDTF">2025-05-20T07:12:00Z</dcterms:created>
  <dcterms:modified xsi:type="dcterms:W3CDTF">2025-05-20T10:56:00Z</dcterms:modified>
</cp:coreProperties>
</file>